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黑体" w:hAnsi="黑体" w:eastAsia="黑体" w:cs="黑体"/>
          <w:snapToGrid w:val="0"/>
          <w:kern w:val="0"/>
          <w:sz w:val="36"/>
          <w:szCs w:val="36"/>
        </w:rPr>
      </w:pPr>
      <w:bookmarkStart w:id="0" w:name="_GoBack"/>
      <w:bookmarkEnd w:id="0"/>
    </w:p>
    <w:p>
      <w:pPr>
        <w:spacing w:line="800" w:lineRule="exact"/>
        <w:contextualSpacing/>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仙桃市人民法院</w:t>
      </w:r>
    </w:p>
    <w:p>
      <w:pPr>
        <w:spacing w:line="800" w:lineRule="exact"/>
        <w:contextualSpacing/>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破产简化审理程序指引（试行）</w:t>
      </w:r>
    </w:p>
    <w:p>
      <w:pPr>
        <w:spacing w:line="560" w:lineRule="exact"/>
        <w:ind w:firstLine="640" w:firstLineChars="200"/>
        <w:rPr>
          <w:rFonts w:ascii="仿宋" w:eastAsia="仿宋"/>
          <w:sz w:val="32"/>
        </w:rPr>
      </w:pPr>
    </w:p>
    <w:p>
      <w:pPr>
        <w:widowControl w:val="0"/>
        <w:wordWrap/>
        <w:adjustRightInd/>
        <w:snapToGrid/>
        <w:spacing w:line="540" w:lineRule="exact"/>
        <w:ind w:left="0" w:leftChars="0" w:right="0" w:firstLine="640" w:firstLineChars="200"/>
        <w:jc w:val="both"/>
        <w:textAlignment w:val="auto"/>
        <w:outlineLvl w:val="9"/>
        <w:rPr>
          <w:rFonts w:hint="eastAsia" w:ascii="仿宋_GB2312" w:eastAsia="仿宋_GB2312"/>
          <w:sz w:val="32"/>
        </w:rPr>
      </w:pPr>
      <w:r>
        <w:rPr>
          <w:rFonts w:hint="eastAsia" w:ascii="仿宋_GB2312" w:eastAsia="仿宋_GB2312"/>
          <w:sz w:val="32"/>
        </w:rPr>
        <w:t>为了更好适应我市经济高质量发展，依法高效处置“僵尸企业”，健全破产审判工作机制，提高破产审判效率，根据《中华人民共和国民事诉讼法》、《中华人民共和国企业破产法》及其司法解释、《湖北省高级人民法院关于规范破产案件简化审理服务法治化营商环境的工作指引（试行）》，结合我院破产审判工作实际，制定本指引：</w:t>
      </w:r>
    </w:p>
    <w:p>
      <w:pPr>
        <w:widowControl w:val="0"/>
        <w:wordWrap/>
        <w:adjustRightInd/>
        <w:snapToGrid/>
        <w:spacing w:line="540" w:lineRule="exact"/>
        <w:ind w:left="0" w:leftChars="0" w:right="0" w:firstLine="643" w:firstLineChars="200"/>
        <w:jc w:val="both"/>
        <w:textAlignment w:val="auto"/>
        <w:outlineLvl w:val="9"/>
        <w:rPr>
          <w:rFonts w:hint="eastAsia" w:ascii="仿宋_GB2312" w:eastAsia="仿宋_GB2312"/>
          <w:sz w:val="32"/>
        </w:rPr>
      </w:pPr>
      <w:r>
        <w:rPr>
          <w:rFonts w:hint="eastAsia" w:ascii="仿宋_GB2312" w:eastAsia="仿宋_GB2312"/>
          <w:b/>
          <w:sz w:val="32"/>
        </w:rPr>
        <w:t>第一条</w:t>
      </w:r>
      <w:r>
        <w:rPr>
          <w:rFonts w:hint="eastAsia" w:ascii="仿宋_GB2312" w:eastAsia="仿宋_GB2312"/>
          <w:sz w:val="32"/>
        </w:rPr>
        <w:t xml:space="preserve">  对于事实清楚、债权债务关系明确、债务人财产状况清晰的申请破产案件、执行转破产案件、强制清算转破产清算案件，可以使用简易程序审理。</w:t>
      </w:r>
    </w:p>
    <w:p>
      <w:pPr>
        <w:widowControl w:val="0"/>
        <w:wordWrap/>
        <w:adjustRightInd/>
        <w:snapToGrid/>
        <w:spacing w:line="540" w:lineRule="exact"/>
        <w:ind w:left="0" w:leftChars="0" w:right="0" w:firstLine="643" w:firstLineChars="200"/>
        <w:jc w:val="both"/>
        <w:textAlignment w:val="auto"/>
        <w:outlineLvl w:val="9"/>
        <w:rPr>
          <w:rFonts w:hint="eastAsia" w:ascii="仿宋_GB2312" w:eastAsia="仿宋_GB2312"/>
          <w:sz w:val="32"/>
        </w:rPr>
      </w:pPr>
      <w:r>
        <w:rPr>
          <w:rFonts w:hint="eastAsia" w:ascii="仿宋_GB2312" w:eastAsia="仿宋_GB2312"/>
          <w:b/>
          <w:sz w:val="32"/>
        </w:rPr>
        <w:t>第二条</w:t>
      </w:r>
      <w:r>
        <w:rPr>
          <w:rFonts w:hint="eastAsia" w:ascii="仿宋_GB2312" w:eastAsia="仿宋_GB2312"/>
          <w:sz w:val="32"/>
        </w:rPr>
        <w:t xml:space="preserve">  破产案件符合下列情形之一的，一般应当简化审理程序：</w:t>
      </w:r>
    </w:p>
    <w:p>
      <w:pPr>
        <w:widowControl w:val="0"/>
        <w:wordWrap/>
        <w:adjustRightInd/>
        <w:snapToGrid/>
        <w:spacing w:line="540" w:lineRule="exact"/>
        <w:ind w:left="0" w:leftChars="0" w:right="0" w:firstLine="640" w:firstLineChars="200"/>
        <w:jc w:val="both"/>
        <w:textAlignment w:val="auto"/>
        <w:outlineLvl w:val="9"/>
        <w:rPr>
          <w:rFonts w:hint="eastAsia" w:ascii="仿宋_GB2312" w:eastAsia="仿宋_GB2312"/>
          <w:sz w:val="32"/>
        </w:rPr>
      </w:pPr>
      <w:r>
        <w:rPr>
          <w:rFonts w:hint="eastAsia" w:ascii="仿宋_GB2312" w:eastAsia="仿宋_GB2312"/>
          <w:sz w:val="32"/>
        </w:rPr>
        <w:t>（一）执行部门已查实无财产可供执行，依法终结本次执行程序后移送破产；</w:t>
      </w:r>
    </w:p>
    <w:p>
      <w:pPr>
        <w:widowControl w:val="0"/>
        <w:wordWrap/>
        <w:adjustRightInd/>
        <w:snapToGrid/>
        <w:spacing w:line="540" w:lineRule="exact"/>
        <w:ind w:left="0" w:leftChars="0" w:right="0" w:firstLine="640" w:firstLineChars="200"/>
        <w:jc w:val="both"/>
        <w:textAlignment w:val="auto"/>
        <w:outlineLvl w:val="9"/>
        <w:rPr>
          <w:rFonts w:hint="eastAsia" w:ascii="仿宋_GB2312" w:eastAsia="仿宋_GB2312"/>
          <w:sz w:val="32"/>
        </w:rPr>
      </w:pPr>
      <w:r>
        <w:rPr>
          <w:rFonts w:hint="eastAsia" w:ascii="仿宋_GB2312" w:eastAsia="仿宋_GB2312"/>
          <w:sz w:val="32"/>
        </w:rPr>
        <w:t>（二）债务人被吊销营业执照但未经清算，债权债务关系简单，无资产或者资产较少；</w:t>
      </w:r>
    </w:p>
    <w:p>
      <w:pPr>
        <w:widowControl w:val="0"/>
        <w:wordWrap/>
        <w:adjustRightInd/>
        <w:snapToGrid/>
        <w:spacing w:line="540" w:lineRule="exact"/>
        <w:ind w:left="0" w:leftChars="0" w:right="0" w:firstLine="640" w:firstLineChars="200"/>
        <w:jc w:val="both"/>
        <w:textAlignment w:val="auto"/>
        <w:outlineLvl w:val="9"/>
        <w:rPr>
          <w:rFonts w:hint="eastAsia" w:ascii="仿宋_GB2312" w:eastAsia="仿宋_GB2312"/>
          <w:sz w:val="32"/>
        </w:rPr>
      </w:pPr>
      <w:r>
        <w:rPr>
          <w:rFonts w:hint="eastAsia" w:ascii="仿宋_GB2312" w:eastAsia="仿宋_GB2312"/>
          <w:sz w:val="32"/>
        </w:rPr>
        <w:t>（三）债务人的主要财产、账册、重要文件等灭失，或者债务人主要人员下落不明，未发现存在逃废债情形的；</w:t>
      </w:r>
    </w:p>
    <w:p>
      <w:pPr>
        <w:widowControl w:val="0"/>
        <w:wordWrap/>
        <w:adjustRightInd/>
        <w:snapToGrid/>
        <w:spacing w:line="540" w:lineRule="exact"/>
        <w:ind w:left="0" w:leftChars="0" w:right="0" w:firstLine="643" w:firstLineChars="200"/>
        <w:jc w:val="both"/>
        <w:textAlignment w:val="auto"/>
        <w:outlineLvl w:val="9"/>
        <w:rPr>
          <w:rFonts w:hint="eastAsia" w:ascii="仿宋_GB2312" w:eastAsia="仿宋_GB2312"/>
          <w:sz w:val="32"/>
        </w:rPr>
      </w:pPr>
      <w:r>
        <w:rPr>
          <w:rFonts w:hint="eastAsia" w:ascii="仿宋_GB2312" w:eastAsia="仿宋_GB2312"/>
          <w:b/>
          <w:sz w:val="32"/>
        </w:rPr>
        <w:t>第三条</w:t>
      </w:r>
      <w:r>
        <w:rPr>
          <w:rFonts w:hint="eastAsia" w:ascii="仿宋_GB2312" w:eastAsia="仿宋_GB2312"/>
          <w:sz w:val="32"/>
        </w:rPr>
        <w:t xml:space="preserve">  破产案件事实清楚、债权债务关系明确、财产状况清晰且同时具备下列情形之一的，可以简化审理长须：</w:t>
      </w:r>
    </w:p>
    <w:p>
      <w:pPr>
        <w:widowControl w:val="0"/>
        <w:wordWrap/>
        <w:adjustRightInd/>
        <w:snapToGrid/>
        <w:spacing w:line="540" w:lineRule="exact"/>
        <w:ind w:left="0" w:leftChars="0" w:right="0" w:firstLine="640" w:firstLineChars="200"/>
        <w:jc w:val="both"/>
        <w:textAlignment w:val="auto"/>
        <w:outlineLvl w:val="9"/>
        <w:rPr>
          <w:rFonts w:hint="eastAsia" w:ascii="仿宋_GB2312" w:eastAsia="仿宋_GB2312"/>
          <w:sz w:val="32"/>
        </w:rPr>
      </w:pPr>
      <w:r>
        <w:rPr>
          <w:rFonts w:hint="eastAsia" w:ascii="仿宋_GB2312" w:eastAsia="仿宋_GB2312"/>
          <w:sz w:val="32"/>
        </w:rPr>
        <w:t>（一）债务人人数少于20人，债权总额或者债务人财产少于500万元的；</w:t>
      </w:r>
    </w:p>
    <w:p>
      <w:pPr>
        <w:widowControl w:val="0"/>
        <w:wordWrap/>
        <w:adjustRightInd/>
        <w:snapToGrid/>
        <w:spacing w:line="540" w:lineRule="exact"/>
        <w:ind w:left="0" w:leftChars="0" w:right="0" w:firstLine="640" w:firstLineChars="200"/>
        <w:jc w:val="both"/>
        <w:textAlignment w:val="auto"/>
        <w:outlineLvl w:val="9"/>
        <w:rPr>
          <w:rFonts w:hint="eastAsia" w:ascii="仿宋_GB2312" w:eastAsia="仿宋_GB2312"/>
          <w:sz w:val="32"/>
        </w:rPr>
      </w:pPr>
      <w:r>
        <w:rPr>
          <w:rFonts w:hint="eastAsia" w:ascii="仿宋_GB2312" w:eastAsia="仿宋_GB2312"/>
          <w:sz w:val="32"/>
        </w:rPr>
        <w:t>（二）申请人、被申请人及主要债权人一致同意简化审理程序的</w:t>
      </w:r>
    </w:p>
    <w:p>
      <w:pPr>
        <w:widowControl w:val="0"/>
        <w:wordWrap/>
        <w:adjustRightInd/>
        <w:snapToGrid/>
        <w:spacing w:line="540" w:lineRule="exact"/>
        <w:ind w:left="0" w:leftChars="0" w:right="0" w:firstLine="640" w:firstLineChars="200"/>
        <w:jc w:val="both"/>
        <w:textAlignment w:val="auto"/>
        <w:outlineLvl w:val="9"/>
        <w:rPr>
          <w:rFonts w:hint="eastAsia" w:ascii="仿宋_GB2312" w:eastAsia="仿宋_GB2312"/>
          <w:sz w:val="32"/>
        </w:rPr>
      </w:pPr>
      <w:r>
        <w:rPr>
          <w:rFonts w:hint="eastAsia" w:ascii="仿宋_GB2312" w:eastAsia="仿宋_GB2312"/>
          <w:sz w:val="32"/>
        </w:rPr>
        <w:t>（三）其他适宜简化审理程序的案件。</w:t>
      </w:r>
    </w:p>
    <w:p>
      <w:pPr>
        <w:widowControl w:val="0"/>
        <w:wordWrap/>
        <w:adjustRightInd/>
        <w:snapToGrid/>
        <w:spacing w:line="540" w:lineRule="exact"/>
        <w:ind w:left="0" w:leftChars="0" w:right="0" w:firstLine="643" w:firstLineChars="200"/>
        <w:jc w:val="both"/>
        <w:textAlignment w:val="auto"/>
        <w:outlineLvl w:val="9"/>
        <w:rPr>
          <w:rFonts w:hint="eastAsia" w:ascii="仿宋_GB2312" w:eastAsia="仿宋_GB2312"/>
          <w:sz w:val="32"/>
        </w:rPr>
      </w:pPr>
      <w:r>
        <w:rPr>
          <w:rFonts w:hint="eastAsia" w:ascii="仿宋_GB2312" w:eastAsia="仿宋_GB2312"/>
          <w:b/>
          <w:sz w:val="32"/>
        </w:rPr>
        <w:t>第四条</w:t>
      </w:r>
      <w:r>
        <w:rPr>
          <w:rFonts w:hint="eastAsia" w:ascii="仿宋_GB2312" w:eastAsia="仿宋_GB2312"/>
          <w:sz w:val="32"/>
        </w:rPr>
        <w:t xml:space="preserve">  破产案件具有下列情形之一的，一般不适用简化审理程序：</w:t>
      </w:r>
    </w:p>
    <w:p>
      <w:pPr>
        <w:widowControl w:val="0"/>
        <w:wordWrap/>
        <w:adjustRightInd/>
        <w:snapToGrid/>
        <w:spacing w:line="540" w:lineRule="exact"/>
        <w:ind w:left="0" w:leftChars="0" w:right="0" w:firstLine="640" w:firstLineChars="200"/>
        <w:jc w:val="both"/>
        <w:textAlignment w:val="auto"/>
        <w:outlineLvl w:val="9"/>
        <w:rPr>
          <w:rFonts w:hint="eastAsia" w:ascii="仿宋_GB2312" w:eastAsia="仿宋_GB2312"/>
          <w:sz w:val="32"/>
        </w:rPr>
      </w:pPr>
      <w:r>
        <w:rPr>
          <w:rFonts w:hint="eastAsia" w:ascii="仿宋_GB2312" w:eastAsia="仿宋_GB2312"/>
          <w:sz w:val="32"/>
        </w:rPr>
        <w:t>（一）涉及企业职工分流安置或者拖欠薪酬、社保费用的；</w:t>
      </w:r>
    </w:p>
    <w:p>
      <w:pPr>
        <w:widowControl w:val="0"/>
        <w:wordWrap/>
        <w:adjustRightInd/>
        <w:snapToGrid/>
        <w:spacing w:line="540" w:lineRule="exact"/>
        <w:ind w:left="0" w:leftChars="0" w:right="0" w:firstLine="640" w:firstLineChars="200"/>
        <w:jc w:val="both"/>
        <w:textAlignment w:val="auto"/>
        <w:outlineLvl w:val="9"/>
        <w:rPr>
          <w:rFonts w:hint="eastAsia" w:ascii="仿宋_GB2312" w:eastAsia="仿宋_GB2312"/>
          <w:sz w:val="32"/>
        </w:rPr>
      </w:pPr>
      <w:r>
        <w:rPr>
          <w:rFonts w:hint="eastAsia" w:ascii="仿宋_GB2312" w:eastAsia="仿宋_GB2312"/>
          <w:sz w:val="32"/>
        </w:rPr>
        <w:t>（二）债权债务关系、债务人财产状况复杂，或者资产处置、变价存在较大困难的；</w:t>
      </w:r>
    </w:p>
    <w:p>
      <w:pPr>
        <w:widowControl w:val="0"/>
        <w:wordWrap/>
        <w:adjustRightInd/>
        <w:snapToGrid/>
        <w:spacing w:line="540" w:lineRule="exact"/>
        <w:ind w:left="0" w:leftChars="0" w:right="0" w:firstLine="640" w:firstLineChars="200"/>
        <w:jc w:val="both"/>
        <w:textAlignment w:val="auto"/>
        <w:outlineLvl w:val="9"/>
        <w:rPr>
          <w:rFonts w:hint="eastAsia" w:ascii="仿宋_GB2312" w:eastAsia="仿宋_GB2312"/>
          <w:sz w:val="32"/>
        </w:rPr>
      </w:pPr>
      <w:r>
        <w:rPr>
          <w:rFonts w:hint="eastAsia" w:ascii="仿宋_GB2312" w:eastAsia="仿宋_GB2312"/>
          <w:sz w:val="32"/>
        </w:rPr>
        <w:t>（三）申请重整或者有重整可能的；</w:t>
      </w:r>
    </w:p>
    <w:p>
      <w:pPr>
        <w:widowControl w:val="0"/>
        <w:wordWrap/>
        <w:adjustRightInd/>
        <w:snapToGrid/>
        <w:spacing w:line="540" w:lineRule="exact"/>
        <w:ind w:left="0" w:leftChars="0" w:right="0" w:firstLine="640" w:firstLineChars="200"/>
        <w:jc w:val="both"/>
        <w:textAlignment w:val="auto"/>
        <w:outlineLvl w:val="9"/>
        <w:rPr>
          <w:rFonts w:hint="eastAsia" w:ascii="仿宋_GB2312" w:eastAsia="仿宋_GB2312"/>
          <w:sz w:val="32"/>
        </w:rPr>
      </w:pPr>
      <w:r>
        <w:rPr>
          <w:rFonts w:hint="eastAsia" w:ascii="仿宋_GB2312" w:eastAsia="仿宋_GB2312"/>
          <w:sz w:val="32"/>
        </w:rPr>
        <w:t>（四）有风险处置隐患和维稳因素的；</w:t>
      </w:r>
    </w:p>
    <w:p>
      <w:pPr>
        <w:widowControl w:val="0"/>
        <w:wordWrap/>
        <w:adjustRightInd/>
        <w:snapToGrid/>
        <w:spacing w:line="540" w:lineRule="exact"/>
        <w:ind w:left="0" w:leftChars="0" w:right="0" w:firstLine="640" w:firstLineChars="200"/>
        <w:jc w:val="both"/>
        <w:textAlignment w:val="auto"/>
        <w:outlineLvl w:val="9"/>
        <w:rPr>
          <w:rFonts w:hint="eastAsia" w:ascii="仿宋_GB2312" w:eastAsia="仿宋_GB2312"/>
          <w:sz w:val="32"/>
        </w:rPr>
      </w:pPr>
      <w:r>
        <w:rPr>
          <w:rFonts w:hint="eastAsia" w:ascii="仿宋_GB2312" w:eastAsia="仿宋_GB2312"/>
          <w:sz w:val="32"/>
        </w:rPr>
        <w:t>（五）其他不适宜简化审理程序的案件。</w:t>
      </w:r>
    </w:p>
    <w:p>
      <w:pPr>
        <w:widowControl w:val="0"/>
        <w:wordWrap/>
        <w:adjustRightInd/>
        <w:snapToGrid/>
        <w:spacing w:line="540" w:lineRule="exact"/>
        <w:ind w:left="0" w:leftChars="0" w:right="0" w:firstLine="643" w:firstLineChars="200"/>
        <w:jc w:val="both"/>
        <w:textAlignment w:val="auto"/>
        <w:outlineLvl w:val="9"/>
        <w:rPr>
          <w:rFonts w:hint="eastAsia" w:ascii="仿宋_GB2312" w:eastAsia="仿宋_GB2312"/>
          <w:sz w:val="32"/>
        </w:rPr>
      </w:pPr>
      <w:r>
        <w:rPr>
          <w:rFonts w:hint="eastAsia" w:ascii="仿宋_GB2312" w:eastAsia="仿宋_GB2312"/>
          <w:b/>
          <w:sz w:val="32"/>
        </w:rPr>
        <w:t>第五条</w:t>
      </w:r>
      <w:r>
        <w:rPr>
          <w:rFonts w:hint="eastAsia" w:ascii="仿宋_GB2312" w:eastAsia="仿宋_GB2312"/>
          <w:sz w:val="32"/>
        </w:rPr>
        <w:t xml:space="preserve">  适用简化审理方式的破产案件在审理过程中发生下列情形之一的，应当转换为普通方式审理，原已进行的破产程序继续有效：</w:t>
      </w:r>
    </w:p>
    <w:p>
      <w:pPr>
        <w:widowControl w:val="0"/>
        <w:wordWrap/>
        <w:adjustRightInd/>
        <w:snapToGrid/>
        <w:spacing w:line="540" w:lineRule="exact"/>
        <w:ind w:left="0" w:leftChars="0" w:right="0" w:firstLine="640" w:firstLineChars="200"/>
        <w:jc w:val="both"/>
        <w:textAlignment w:val="auto"/>
        <w:outlineLvl w:val="9"/>
        <w:rPr>
          <w:rFonts w:hint="eastAsia" w:ascii="仿宋_GB2312" w:eastAsia="仿宋_GB2312"/>
          <w:sz w:val="32"/>
        </w:rPr>
      </w:pPr>
      <w:r>
        <w:rPr>
          <w:rFonts w:hint="eastAsia" w:ascii="仿宋_GB2312" w:eastAsia="仿宋_GB2312"/>
          <w:sz w:val="32"/>
        </w:rPr>
        <w:t>（一）案件无法在六个月内审结的；</w:t>
      </w:r>
    </w:p>
    <w:p>
      <w:pPr>
        <w:widowControl w:val="0"/>
        <w:wordWrap/>
        <w:adjustRightInd/>
        <w:snapToGrid/>
        <w:spacing w:line="540" w:lineRule="exact"/>
        <w:ind w:left="0" w:leftChars="0" w:right="0" w:firstLine="640" w:firstLineChars="200"/>
        <w:jc w:val="both"/>
        <w:textAlignment w:val="auto"/>
        <w:outlineLvl w:val="9"/>
        <w:rPr>
          <w:rFonts w:hint="eastAsia" w:ascii="仿宋_GB2312" w:eastAsia="仿宋_GB2312"/>
          <w:sz w:val="32"/>
        </w:rPr>
      </w:pPr>
      <w:r>
        <w:rPr>
          <w:rFonts w:hint="eastAsia" w:ascii="仿宋_GB2312" w:eastAsia="仿宋_GB2312"/>
          <w:sz w:val="32"/>
        </w:rPr>
        <w:t>（二）债权人、债务人及管理人对适用简化审理方式提出异议且理由充分的；</w:t>
      </w:r>
    </w:p>
    <w:p>
      <w:pPr>
        <w:widowControl w:val="0"/>
        <w:wordWrap/>
        <w:adjustRightInd/>
        <w:snapToGrid/>
        <w:spacing w:line="540" w:lineRule="exact"/>
        <w:ind w:left="0" w:leftChars="0" w:right="0" w:firstLine="640" w:firstLineChars="200"/>
        <w:jc w:val="both"/>
        <w:textAlignment w:val="auto"/>
        <w:outlineLvl w:val="9"/>
        <w:rPr>
          <w:rFonts w:hint="eastAsia" w:ascii="仿宋_GB2312" w:eastAsia="仿宋_GB2312"/>
          <w:sz w:val="32"/>
        </w:rPr>
      </w:pPr>
      <w:r>
        <w:rPr>
          <w:rFonts w:hint="eastAsia" w:ascii="仿宋_GB2312" w:eastAsia="仿宋_GB2312"/>
          <w:sz w:val="32"/>
        </w:rPr>
        <w:t>（三）相关衍生诉讼对破产程序有重大影响的；</w:t>
      </w:r>
    </w:p>
    <w:p>
      <w:pPr>
        <w:widowControl w:val="0"/>
        <w:wordWrap/>
        <w:adjustRightInd/>
        <w:snapToGrid/>
        <w:spacing w:line="540" w:lineRule="exact"/>
        <w:ind w:left="0" w:leftChars="0" w:right="0" w:firstLine="640" w:firstLineChars="200"/>
        <w:jc w:val="both"/>
        <w:textAlignment w:val="auto"/>
        <w:outlineLvl w:val="9"/>
        <w:rPr>
          <w:rFonts w:hint="eastAsia" w:ascii="仿宋_GB2312" w:eastAsia="仿宋_GB2312"/>
          <w:sz w:val="32"/>
        </w:rPr>
      </w:pPr>
      <w:r>
        <w:rPr>
          <w:rFonts w:hint="eastAsia" w:ascii="仿宋_GB2312" w:eastAsia="仿宋_GB2312"/>
          <w:sz w:val="32"/>
        </w:rPr>
        <w:t>（四）其他不宜继续适用简化审理方式审理的情形。</w:t>
      </w:r>
    </w:p>
    <w:p>
      <w:pPr>
        <w:widowControl w:val="0"/>
        <w:wordWrap/>
        <w:adjustRightInd/>
        <w:snapToGrid/>
        <w:spacing w:line="540" w:lineRule="exact"/>
        <w:ind w:left="0" w:leftChars="0" w:right="0" w:firstLine="643" w:firstLineChars="200"/>
        <w:jc w:val="both"/>
        <w:textAlignment w:val="auto"/>
        <w:outlineLvl w:val="9"/>
        <w:rPr>
          <w:rFonts w:hint="eastAsia" w:ascii="仿宋_GB2312" w:eastAsia="仿宋_GB2312"/>
          <w:sz w:val="32"/>
        </w:rPr>
      </w:pPr>
      <w:r>
        <w:rPr>
          <w:rFonts w:hint="eastAsia" w:ascii="仿宋_GB2312" w:eastAsia="仿宋_GB2312"/>
          <w:b/>
          <w:sz w:val="32"/>
        </w:rPr>
        <w:t>第六条</w:t>
      </w:r>
      <w:r>
        <w:rPr>
          <w:rFonts w:hint="eastAsia" w:ascii="仿宋_GB2312" w:eastAsia="仿宋_GB2312"/>
          <w:sz w:val="32"/>
        </w:rPr>
        <w:t xml:space="preserve">  简化审理程序的破产案件，立案、审查、受理的期限应严格执行《企业破产法》及司法解释的规定，一般不得延长期限。</w:t>
      </w:r>
    </w:p>
    <w:p>
      <w:pPr>
        <w:widowControl w:val="0"/>
        <w:wordWrap/>
        <w:adjustRightInd/>
        <w:snapToGrid/>
        <w:spacing w:line="540" w:lineRule="exact"/>
        <w:ind w:left="0" w:leftChars="0" w:right="0" w:firstLine="643" w:firstLineChars="200"/>
        <w:jc w:val="both"/>
        <w:textAlignment w:val="auto"/>
        <w:outlineLvl w:val="9"/>
        <w:rPr>
          <w:rFonts w:hint="eastAsia" w:ascii="仿宋_GB2312" w:eastAsia="仿宋_GB2312"/>
          <w:sz w:val="32"/>
        </w:rPr>
      </w:pPr>
      <w:r>
        <w:rPr>
          <w:rFonts w:hint="eastAsia" w:ascii="仿宋_GB2312" w:eastAsia="仿宋_GB2312"/>
          <w:b/>
          <w:sz w:val="32"/>
        </w:rPr>
        <w:t>第七条</w:t>
      </w:r>
      <w:r>
        <w:rPr>
          <w:rFonts w:hint="eastAsia" w:ascii="仿宋_GB2312" w:eastAsia="仿宋_GB2312"/>
          <w:sz w:val="32"/>
        </w:rPr>
        <w:t xml:space="preserve">  适用简化审理方式的破产案件，除受理破产申请、指定管理人、采用简化审理方式、申报债权、召开债权人会议、转化审理方式、宣告破产、终结破产程序等应当公告的事项外，其余事项可不予公告。对应当公告的事项，可以采取合并公告。</w:t>
      </w:r>
    </w:p>
    <w:p>
      <w:pPr>
        <w:widowControl w:val="0"/>
        <w:wordWrap/>
        <w:adjustRightInd/>
        <w:snapToGrid/>
        <w:spacing w:line="540" w:lineRule="exact"/>
        <w:ind w:left="0" w:leftChars="0" w:right="0" w:firstLine="640" w:firstLineChars="200"/>
        <w:jc w:val="both"/>
        <w:textAlignment w:val="auto"/>
        <w:outlineLvl w:val="9"/>
        <w:rPr>
          <w:rFonts w:hint="eastAsia" w:ascii="仿宋_GB2312" w:eastAsia="仿宋_GB2312"/>
          <w:sz w:val="32"/>
        </w:rPr>
      </w:pPr>
      <w:r>
        <w:rPr>
          <w:rFonts w:hint="eastAsia" w:ascii="仿宋_GB2312" w:eastAsia="仿宋_GB2312"/>
          <w:sz w:val="32"/>
        </w:rPr>
        <w:t>对需要公告的事项，法院、管理人应当于三日内在“全国企业破产重整案件信息网”公告，同时还可以通过下列方式进行公告：</w:t>
      </w:r>
    </w:p>
    <w:p>
      <w:pPr>
        <w:widowControl w:val="0"/>
        <w:wordWrap/>
        <w:adjustRightInd/>
        <w:snapToGrid/>
        <w:spacing w:line="540" w:lineRule="exact"/>
        <w:ind w:left="0" w:leftChars="0" w:right="0" w:firstLine="640" w:firstLineChars="200"/>
        <w:jc w:val="both"/>
        <w:textAlignment w:val="auto"/>
        <w:outlineLvl w:val="9"/>
        <w:rPr>
          <w:rFonts w:hint="eastAsia" w:ascii="仿宋_GB2312" w:eastAsia="仿宋_GB2312"/>
          <w:sz w:val="32"/>
        </w:rPr>
      </w:pPr>
      <w:r>
        <w:rPr>
          <w:rFonts w:hint="eastAsia" w:ascii="仿宋_GB2312" w:eastAsia="仿宋_GB2312"/>
          <w:sz w:val="32"/>
        </w:rPr>
        <w:t>（1）在破产案件受理法院的公告栏张贴或发布；</w:t>
      </w:r>
    </w:p>
    <w:p>
      <w:pPr>
        <w:widowControl w:val="0"/>
        <w:wordWrap/>
        <w:adjustRightInd/>
        <w:snapToGrid/>
        <w:spacing w:line="540" w:lineRule="exact"/>
        <w:ind w:left="0" w:leftChars="0" w:right="0" w:firstLine="640" w:firstLineChars="200"/>
        <w:jc w:val="both"/>
        <w:textAlignment w:val="auto"/>
        <w:outlineLvl w:val="9"/>
        <w:rPr>
          <w:rFonts w:hint="eastAsia" w:ascii="仿宋_GB2312" w:eastAsia="仿宋_GB2312"/>
          <w:sz w:val="32"/>
        </w:rPr>
      </w:pPr>
      <w:r>
        <w:rPr>
          <w:rFonts w:hint="eastAsia" w:ascii="仿宋_GB2312" w:eastAsia="仿宋_GB2312"/>
          <w:sz w:val="32"/>
        </w:rPr>
        <w:t>（2）在破产案件受理法院的官网发布；</w:t>
      </w:r>
    </w:p>
    <w:p>
      <w:pPr>
        <w:widowControl w:val="0"/>
        <w:wordWrap/>
        <w:adjustRightInd/>
        <w:snapToGrid/>
        <w:spacing w:line="540" w:lineRule="exact"/>
        <w:ind w:left="0" w:leftChars="0" w:right="0" w:firstLine="640" w:firstLineChars="200"/>
        <w:jc w:val="both"/>
        <w:textAlignment w:val="auto"/>
        <w:outlineLvl w:val="9"/>
        <w:rPr>
          <w:rFonts w:hint="eastAsia" w:ascii="仿宋_GB2312" w:eastAsia="仿宋_GB2312"/>
          <w:sz w:val="32"/>
        </w:rPr>
      </w:pPr>
      <w:r>
        <w:rPr>
          <w:rFonts w:hint="eastAsia" w:ascii="仿宋_GB2312" w:eastAsia="仿宋_GB2312"/>
          <w:sz w:val="32"/>
        </w:rPr>
        <w:t>（3）在市级以上报纸刊登；</w:t>
      </w:r>
    </w:p>
    <w:p>
      <w:pPr>
        <w:widowControl w:val="0"/>
        <w:wordWrap/>
        <w:adjustRightInd/>
        <w:snapToGrid/>
        <w:spacing w:line="540" w:lineRule="exact"/>
        <w:ind w:left="0" w:leftChars="0" w:right="0" w:firstLine="640" w:firstLineChars="200"/>
        <w:jc w:val="both"/>
        <w:textAlignment w:val="auto"/>
        <w:outlineLvl w:val="9"/>
        <w:rPr>
          <w:rFonts w:hint="eastAsia" w:ascii="仿宋_GB2312" w:eastAsia="仿宋_GB2312"/>
          <w:sz w:val="32"/>
        </w:rPr>
      </w:pPr>
      <w:r>
        <w:rPr>
          <w:rFonts w:hint="eastAsia" w:ascii="仿宋_GB2312" w:eastAsia="仿宋_GB2312"/>
          <w:sz w:val="32"/>
        </w:rPr>
        <w:t>（4）在债务人注册地、实际经营地或者主要财产所在地等场所张贴并拍照留存。</w:t>
      </w:r>
    </w:p>
    <w:p>
      <w:pPr>
        <w:widowControl w:val="0"/>
        <w:wordWrap/>
        <w:adjustRightInd/>
        <w:snapToGrid/>
        <w:spacing w:line="540" w:lineRule="exact"/>
        <w:ind w:left="0" w:leftChars="0" w:right="0" w:firstLine="643" w:firstLineChars="200"/>
        <w:jc w:val="both"/>
        <w:textAlignment w:val="auto"/>
        <w:outlineLvl w:val="9"/>
        <w:rPr>
          <w:rFonts w:hint="eastAsia" w:ascii="仿宋_GB2312" w:eastAsia="仿宋_GB2312"/>
          <w:sz w:val="32"/>
        </w:rPr>
      </w:pPr>
      <w:r>
        <w:rPr>
          <w:rFonts w:hint="eastAsia" w:ascii="仿宋_GB2312" w:eastAsia="仿宋_GB2312"/>
          <w:b/>
          <w:sz w:val="32"/>
        </w:rPr>
        <w:t>第八条</w:t>
      </w:r>
      <w:r>
        <w:rPr>
          <w:rFonts w:hint="eastAsia" w:ascii="仿宋_GB2312" w:eastAsia="仿宋_GB2312"/>
          <w:sz w:val="32"/>
        </w:rPr>
        <w:t xml:space="preserve">  对于需要通知或者告知的事项，人民法院、管理人可以采用电话、短信、传真、电子邮件、即时通信、通讯群组等能够确认其收悉的简便方式通知或者告知债权人、债务人或其他利害关系人。</w:t>
      </w:r>
    </w:p>
    <w:p>
      <w:pPr>
        <w:widowControl w:val="0"/>
        <w:wordWrap/>
        <w:adjustRightInd/>
        <w:snapToGrid/>
        <w:spacing w:line="540" w:lineRule="exact"/>
        <w:ind w:left="0" w:leftChars="0" w:right="0" w:firstLine="640" w:firstLineChars="200"/>
        <w:jc w:val="both"/>
        <w:textAlignment w:val="auto"/>
        <w:outlineLvl w:val="9"/>
        <w:rPr>
          <w:rFonts w:hint="eastAsia" w:ascii="仿宋_GB2312" w:eastAsia="仿宋_GB2312"/>
          <w:sz w:val="32"/>
        </w:rPr>
      </w:pPr>
      <w:r>
        <w:rPr>
          <w:rFonts w:hint="eastAsia" w:ascii="仿宋_GB2312" w:eastAsia="仿宋_GB2312"/>
          <w:sz w:val="32"/>
        </w:rPr>
        <w:t>债权人提出破产申请，人民法院经采用上一款规定的简便方式和邮寄等方式无法通知债务人的，应当到期住所地进行通知。仍无法通知的，人民法院按照本规定第6条第2款规定的公告方式进行通知。自公告发布之日起七日内债务人未向人民法院提出异议的，视为债务人经通知对破产申请无异议。</w:t>
      </w:r>
    </w:p>
    <w:p>
      <w:pPr>
        <w:widowControl w:val="0"/>
        <w:wordWrap/>
        <w:adjustRightInd/>
        <w:snapToGrid/>
        <w:spacing w:line="540" w:lineRule="exact"/>
        <w:ind w:left="0" w:leftChars="0" w:right="0" w:firstLine="643" w:firstLineChars="200"/>
        <w:jc w:val="both"/>
        <w:textAlignment w:val="auto"/>
        <w:outlineLvl w:val="9"/>
        <w:rPr>
          <w:rFonts w:hint="eastAsia" w:ascii="仿宋_GB2312" w:eastAsia="仿宋_GB2312"/>
          <w:sz w:val="32"/>
        </w:rPr>
      </w:pPr>
      <w:r>
        <w:rPr>
          <w:rFonts w:hint="eastAsia" w:ascii="仿宋_GB2312" w:eastAsia="仿宋_GB2312"/>
          <w:b/>
          <w:sz w:val="32"/>
        </w:rPr>
        <w:t>第九条</w:t>
      </w:r>
      <w:r>
        <w:rPr>
          <w:rFonts w:hint="eastAsia" w:ascii="仿宋_GB2312" w:eastAsia="仿宋_GB2312"/>
          <w:sz w:val="32"/>
        </w:rPr>
        <w:t xml:space="preserve">  人民法院在破产申请审查阶段，可以就简化审理程序征求申请人、被申请人的意见，审查决定是否简化审理程序。</w:t>
      </w:r>
    </w:p>
    <w:p>
      <w:pPr>
        <w:widowControl w:val="0"/>
        <w:wordWrap/>
        <w:adjustRightInd/>
        <w:snapToGrid/>
        <w:spacing w:line="540" w:lineRule="exact"/>
        <w:ind w:left="0" w:leftChars="0" w:right="0" w:firstLine="643" w:firstLineChars="200"/>
        <w:jc w:val="both"/>
        <w:textAlignment w:val="auto"/>
        <w:outlineLvl w:val="9"/>
        <w:rPr>
          <w:rFonts w:hint="eastAsia" w:ascii="仿宋_GB2312" w:eastAsia="仿宋_GB2312"/>
          <w:sz w:val="32"/>
        </w:rPr>
      </w:pPr>
      <w:r>
        <w:rPr>
          <w:rFonts w:hint="eastAsia" w:ascii="仿宋_GB2312" w:eastAsia="仿宋_GB2312"/>
          <w:b/>
          <w:sz w:val="32"/>
        </w:rPr>
        <w:t>第十条</w:t>
      </w:r>
      <w:r>
        <w:rPr>
          <w:rFonts w:hint="eastAsia" w:ascii="仿宋_GB2312" w:eastAsia="仿宋_GB2312"/>
          <w:sz w:val="32"/>
        </w:rPr>
        <w:t xml:space="preserve">  人民法院裁定受理破产申请后，应当自裁定受理之日起三日内通知债务人，并告知简化审理事项。裁定受理破产申请时，可将简化审理事项一并公告。</w:t>
      </w:r>
    </w:p>
    <w:p>
      <w:pPr>
        <w:widowControl w:val="0"/>
        <w:wordWrap/>
        <w:adjustRightInd/>
        <w:snapToGrid/>
        <w:spacing w:line="540" w:lineRule="exact"/>
        <w:ind w:left="0" w:leftChars="0" w:right="0" w:firstLine="643" w:firstLineChars="200"/>
        <w:jc w:val="both"/>
        <w:textAlignment w:val="auto"/>
        <w:outlineLvl w:val="9"/>
        <w:rPr>
          <w:rFonts w:hint="eastAsia" w:ascii="仿宋_GB2312" w:eastAsia="仿宋_GB2312"/>
          <w:sz w:val="32"/>
        </w:rPr>
      </w:pPr>
      <w:r>
        <w:rPr>
          <w:rFonts w:hint="eastAsia" w:ascii="仿宋_GB2312" w:eastAsia="仿宋_GB2312"/>
          <w:b/>
          <w:sz w:val="32"/>
        </w:rPr>
        <w:t>第十一条</w:t>
      </w:r>
      <w:r>
        <w:rPr>
          <w:rFonts w:hint="eastAsia" w:ascii="仿宋_GB2312" w:eastAsia="仿宋_GB2312"/>
          <w:sz w:val="32"/>
        </w:rPr>
        <w:t xml:space="preserve">  简化审理破产案件，可由法官组成合议庭审理，也可由法官独任审理。</w:t>
      </w:r>
    </w:p>
    <w:p>
      <w:pPr>
        <w:widowControl w:val="0"/>
        <w:wordWrap/>
        <w:adjustRightInd/>
        <w:snapToGrid/>
        <w:spacing w:line="540" w:lineRule="exact"/>
        <w:ind w:left="0" w:leftChars="0" w:right="0" w:firstLine="643" w:firstLineChars="200"/>
        <w:jc w:val="both"/>
        <w:textAlignment w:val="auto"/>
        <w:outlineLvl w:val="9"/>
        <w:rPr>
          <w:rFonts w:hint="eastAsia" w:ascii="仿宋_GB2312" w:eastAsia="仿宋_GB2312"/>
          <w:sz w:val="32"/>
        </w:rPr>
      </w:pPr>
      <w:r>
        <w:rPr>
          <w:rFonts w:hint="eastAsia" w:ascii="仿宋_GB2312" w:eastAsia="仿宋_GB2312"/>
          <w:b/>
          <w:sz w:val="32"/>
        </w:rPr>
        <w:t>第十二条</w:t>
      </w:r>
      <w:r>
        <w:rPr>
          <w:rFonts w:hint="eastAsia" w:ascii="仿宋_GB2312" w:eastAsia="仿宋_GB2312"/>
          <w:sz w:val="32"/>
        </w:rPr>
        <w:t xml:space="preserve">  简化审理程序的破产案件一般应于裁定受理之日起六个月内审结。</w:t>
      </w:r>
    </w:p>
    <w:p>
      <w:pPr>
        <w:widowControl w:val="0"/>
        <w:wordWrap/>
        <w:adjustRightInd/>
        <w:snapToGrid/>
        <w:spacing w:line="540" w:lineRule="exact"/>
        <w:ind w:left="0" w:leftChars="0" w:right="0" w:firstLine="643" w:firstLineChars="200"/>
        <w:jc w:val="both"/>
        <w:textAlignment w:val="auto"/>
        <w:outlineLvl w:val="9"/>
        <w:rPr>
          <w:rFonts w:hint="eastAsia" w:ascii="仿宋_GB2312" w:eastAsia="仿宋_GB2312"/>
          <w:sz w:val="32"/>
        </w:rPr>
      </w:pPr>
      <w:r>
        <w:rPr>
          <w:rFonts w:hint="eastAsia" w:ascii="仿宋_GB2312" w:eastAsia="仿宋_GB2312"/>
          <w:b/>
          <w:sz w:val="32"/>
        </w:rPr>
        <w:t>第十三条</w:t>
      </w:r>
      <w:r>
        <w:rPr>
          <w:rFonts w:hint="eastAsia" w:ascii="仿宋_GB2312" w:eastAsia="仿宋_GB2312"/>
          <w:sz w:val="32"/>
        </w:rPr>
        <w:t xml:space="preserve">  除存在资产状况复杂等客观原因外，管理人应当在第一次债权人会议召开前完成债务人接管、财产状况调整、工商信息查询、已知债权人通知、债权审查认定等工作，并向第一次债权人会议做阶段性报告。</w:t>
      </w:r>
    </w:p>
    <w:p>
      <w:pPr>
        <w:widowControl w:val="0"/>
        <w:wordWrap/>
        <w:adjustRightInd/>
        <w:snapToGrid/>
        <w:spacing w:line="540" w:lineRule="exact"/>
        <w:ind w:left="0" w:leftChars="0" w:right="0" w:firstLine="643" w:firstLineChars="200"/>
        <w:jc w:val="both"/>
        <w:textAlignment w:val="auto"/>
        <w:outlineLvl w:val="9"/>
        <w:rPr>
          <w:rFonts w:hint="eastAsia" w:ascii="仿宋_GB2312" w:eastAsia="仿宋_GB2312"/>
          <w:sz w:val="32"/>
        </w:rPr>
      </w:pPr>
      <w:r>
        <w:rPr>
          <w:rFonts w:hint="eastAsia" w:ascii="仿宋_GB2312" w:eastAsia="仿宋_GB2312"/>
          <w:b/>
          <w:sz w:val="32"/>
        </w:rPr>
        <w:t>第十四条</w:t>
      </w:r>
      <w:r>
        <w:rPr>
          <w:rFonts w:hint="eastAsia" w:ascii="仿宋_GB2312" w:eastAsia="仿宋_GB2312"/>
          <w:sz w:val="32"/>
        </w:rPr>
        <w:t xml:space="preserve">  适用简化审理方式的破产案件一般只召开一次债权人会议，最多不超过两次。</w:t>
      </w:r>
    </w:p>
    <w:p>
      <w:pPr>
        <w:widowControl w:val="0"/>
        <w:wordWrap/>
        <w:adjustRightInd/>
        <w:snapToGrid/>
        <w:spacing w:line="540" w:lineRule="exact"/>
        <w:ind w:left="0" w:leftChars="0" w:right="0" w:firstLine="640" w:firstLineChars="200"/>
        <w:jc w:val="both"/>
        <w:textAlignment w:val="auto"/>
        <w:outlineLvl w:val="9"/>
        <w:rPr>
          <w:rFonts w:hint="eastAsia" w:ascii="仿宋_GB2312" w:eastAsia="仿宋_GB2312"/>
          <w:sz w:val="32"/>
        </w:rPr>
      </w:pPr>
      <w:r>
        <w:rPr>
          <w:rFonts w:hint="eastAsia" w:ascii="仿宋_GB2312" w:eastAsia="仿宋_GB2312"/>
          <w:sz w:val="32"/>
        </w:rPr>
        <w:t>第一次债权人会议由人民法院召集，自债权申报期限届满之日起五日内召开。</w:t>
      </w:r>
    </w:p>
    <w:p>
      <w:pPr>
        <w:widowControl w:val="0"/>
        <w:wordWrap/>
        <w:adjustRightInd/>
        <w:snapToGrid/>
        <w:spacing w:line="540" w:lineRule="exact"/>
        <w:ind w:left="0" w:leftChars="0" w:right="0" w:firstLine="640" w:firstLineChars="200"/>
        <w:jc w:val="both"/>
        <w:textAlignment w:val="auto"/>
        <w:outlineLvl w:val="9"/>
        <w:rPr>
          <w:rFonts w:hint="eastAsia" w:ascii="仿宋_GB2312" w:eastAsia="仿宋_GB2312"/>
          <w:sz w:val="32"/>
        </w:rPr>
      </w:pPr>
      <w:r>
        <w:rPr>
          <w:rFonts w:hint="eastAsia" w:ascii="仿宋_GB2312" w:eastAsia="仿宋_GB2312"/>
          <w:sz w:val="32"/>
        </w:rPr>
        <w:t>债权人会议可以书面、网络等非现场方式召开。债权人可通过传真、信件、电子邮件、即时通信、通讯群组、网络平台等方式接收会议资料、发表意见、进行表决。</w:t>
      </w:r>
    </w:p>
    <w:p>
      <w:pPr>
        <w:widowControl w:val="0"/>
        <w:wordWrap/>
        <w:adjustRightInd/>
        <w:snapToGrid/>
        <w:spacing w:line="540" w:lineRule="exact"/>
        <w:ind w:left="0" w:leftChars="0" w:right="0" w:firstLine="643" w:firstLineChars="200"/>
        <w:jc w:val="both"/>
        <w:textAlignment w:val="auto"/>
        <w:outlineLvl w:val="9"/>
        <w:rPr>
          <w:rFonts w:hint="eastAsia" w:ascii="仿宋_GB2312" w:eastAsia="仿宋_GB2312"/>
          <w:sz w:val="32"/>
        </w:rPr>
      </w:pPr>
      <w:r>
        <w:rPr>
          <w:rFonts w:hint="eastAsia" w:ascii="仿宋_GB2312" w:eastAsia="仿宋_GB2312"/>
          <w:b/>
          <w:sz w:val="32"/>
        </w:rPr>
        <w:t>第十五条</w:t>
      </w:r>
      <w:r>
        <w:rPr>
          <w:rFonts w:hint="eastAsia" w:ascii="仿宋_GB2312" w:eastAsia="仿宋_GB2312"/>
          <w:sz w:val="32"/>
        </w:rPr>
        <w:t xml:space="preserve">  简化审理程序的破产案件一般不设立债权人委员会。</w:t>
      </w:r>
    </w:p>
    <w:p>
      <w:pPr>
        <w:widowControl w:val="0"/>
        <w:wordWrap/>
        <w:adjustRightInd/>
        <w:snapToGrid/>
        <w:spacing w:line="540" w:lineRule="exact"/>
        <w:ind w:left="0" w:leftChars="0" w:right="0" w:firstLine="643" w:firstLineChars="200"/>
        <w:jc w:val="both"/>
        <w:textAlignment w:val="auto"/>
        <w:outlineLvl w:val="9"/>
        <w:rPr>
          <w:rFonts w:hint="eastAsia" w:ascii="仿宋_GB2312" w:eastAsia="仿宋_GB2312"/>
          <w:sz w:val="32"/>
        </w:rPr>
      </w:pPr>
      <w:r>
        <w:rPr>
          <w:rFonts w:hint="eastAsia" w:ascii="仿宋_GB2312" w:eastAsia="仿宋_GB2312"/>
          <w:b/>
          <w:sz w:val="32"/>
        </w:rPr>
        <w:t>第十六条</w:t>
      </w:r>
      <w:r>
        <w:rPr>
          <w:rFonts w:hint="eastAsia" w:ascii="仿宋_GB2312" w:eastAsia="仿宋_GB2312"/>
          <w:sz w:val="32"/>
        </w:rPr>
        <w:t xml:space="preserve">  经债权人会议决议，可以对债务人财产采用网络拍卖、变卖、折价、债权人内部竞价、协议转让、以物抵债等方式进行处置，但法律、行政法规另有规定的除外。</w:t>
      </w:r>
    </w:p>
    <w:p>
      <w:pPr>
        <w:widowControl w:val="0"/>
        <w:wordWrap/>
        <w:adjustRightInd/>
        <w:snapToGrid/>
        <w:spacing w:line="540" w:lineRule="exact"/>
        <w:ind w:left="0" w:leftChars="0" w:right="0" w:firstLine="640" w:firstLineChars="200"/>
        <w:jc w:val="both"/>
        <w:textAlignment w:val="auto"/>
        <w:outlineLvl w:val="9"/>
        <w:rPr>
          <w:rFonts w:hint="eastAsia" w:ascii="仿宋_GB2312" w:eastAsia="仿宋_GB2312"/>
          <w:sz w:val="32"/>
        </w:rPr>
      </w:pPr>
      <w:r>
        <w:rPr>
          <w:rFonts w:hint="eastAsia" w:ascii="仿宋_GB2312" w:eastAsia="仿宋_GB2312"/>
          <w:sz w:val="32"/>
        </w:rPr>
        <w:t>债务人财产实际变价后，管理人可直接根据债权人会议决议通过的分配规则计算具体分配数额，向债权人告知后进行分配，无需再进行表决。</w:t>
      </w:r>
    </w:p>
    <w:p>
      <w:pPr>
        <w:widowControl w:val="0"/>
        <w:wordWrap/>
        <w:adjustRightInd/>
        <w:snapToGrid/>
        <w:spacing w:line="540" w:lineRule="exact"/>
        <w:ind w:left="0" w:leftChars="0" w:right="0" w:firstLine="640" w:firstLineChars="200"/>
        <w:jc w:val="both"/>
        <w:textAlignment w:val="auto"/>
        <w:outlineLvl w:val="9"/>
        <w:rPr>
          <w:rFonts w:hint="eastAsia" w:ascii="仿宋_GB2312" w:eastAsia="仿宋_GB2312"/>
          <w:sz w:val="32"/>
        </w:rPr>
      </w:pPr>
      <w:r>
        <w:rPr>
          <w:rFonts w:hint="eastAsia" w:ascii="仿宋_GB2312" w:eastAsia="仿宋_GB2312"/>
          <w:sz w:val="32"/>
        </w:rPr>
        <w:t>采用拍卖方式处置破产财产，变价款不足以支付评估、拍卖费用的，可以对破产财产作价变卖或者以非货币方式分配，但上述处置方案必须经债权人会议决议通过。</w:t>
      </w:r>
    </w:p>
    <w:p>
      <w:pPr>
        <w:widowControl w:val="0"/>
        <w:wordWrap/>
        <w:adjustRightInd/>
        <w:snapToGrid/>
        <w:spacing w:line="540" w:lineRule="exact"/>
        <w:ind w:left="0" w:leftChars="0" w:right="0" w:firstLine="643" w:firstLineChars="200"/>
        <w:jc w:val="both"/>
        <w:textAlignment w:val="auto"/>
        <w:outlineLvl w:val="9"/>
        <w:rPr>
          <w:rFonts w:hint="eastAsia" w:ascii="仿宋_GB2312" w:eastAsia="仿宋_GB2312"/>
          <w:sz w:val="32"/>
        </w:rPr>
      </w:pPr>
      <w:r>
        <w:rPr>
          <w:rFonts w:hint="eastAsia" w:ascii="仿宋_GB2312" w:eastAsia="仿宋_GB2312"/>
          <w:b/>
          <w:sz w:val="32"/>
        </w:rPr>
        <w:t>第十七条</w:t>
      </w:r>
      <w:r>
        <w:rPr>
          <w:rFonts w:hint="eastAsia" w:ascii="仿宋_GB2312" w:eastAsia="仿宋_GB2312"/>
          <w:sz w:val="32"/>
        </w:rPr>
        <w:t xml:space="preserve">  经管理人尽职调查，债务人确无任何财产清偿破产费用，或者仅少量财产不足以清偿破产费用的，人民法院可以裁定宣告破产的同时终结破产程序。</w:t>
      </w:r>
    </w:p>
    <w:p>
      <w:pPr>
        <w:widowControl w:val="0"/>
        <w:wordWrap/>
        <w:adjustRightInd/>
        <w:snapToGrid/>
        <w:spacing w:line="540" w:lineRule="exact"/>
        <w:ind w:left="0" w:leftChars="0" w:right="0" w:firstLine="640" w:firstLineChars="200"/>
        <w:jc w:val="both"/>
        <w:textAlignment w:val="auto"/>
        <w:outlineLvl w:val="9"/>
        <w:rPr>
          <w:rFonts w:hint="eastAsia" w:ascii="仿宋_GB2312" w:eastAsia="仿宋_GB2312"/>
          <w:sz w:val="32"/>
        </w:rPr>
      </w:pPr>
      <w:r>
        <w:rPr>
          <w:rFonts w:hint="eastAsia" w:ascii="仿宋_GB2312" w:eastAsia="仿宋_GB2312"/>
          <w:sz w:val="32"/>
        </w:rPr>
        <w:t>债权人、管理及其他利害关系人愿意垫付破产费用，或者获准预支破产援助资金的，破产程序应当继续进行。</w:t>
      </w:r>
    </w:p>
    <w:p>
      <w:pPr>
        <w:widowControl w:val="0"/>
        <w:wordWrap/>
        <w:adjustRightInd/>
        <w:snapToGrid/>
        <w:spacing w:line="540" w:lineRule="exact"/>
        <w:ind w:left="0" w:leftChars="0" w:right="0" w:firstLine="643" w:firstLineChars="200"/>
        <w:jc w:val="both"/>
        <w:textAlignment w:val="auto"/>
        <w:outlineLvl w:val="9"/>
        <w:rPr>
          <w:rFonts w:hint="eastAsia" w:ascii="仿宋_GB2312" w:eastAsia="仿宋_GB2312"/>
          <w:sz w:val="32"/>
        </w:rPr>
      </w:pPr>
      <w:r>
        <w:rPr>
          <w:rFonts w:hint="eastAsia" w:ascii="仿宋_GB2312" w:eastAsia="仿宋_GB2312"/>
          <w:b/>
          <w:sz w:val="32"/>
        </w:rPr>
        <w:t xml:space="preserve">第十八条 </w:t>
      </w:r>
      <w:r>
        <w:rPr>
          <w:rFonts w:hint="eastAsia" w:ascii="仿宋_GB2312" w:eastAsia="仿宋_GB2312"/>
          <w:sz w:val="32"/>
        </w:rPr>
        <w:t xml:space="preserve"> 债务人申请破产时已提供了审计报告，经债权人会议同意，宣告破产前可不再委托审计。</w:t>
      </w:r>
    </w:p>
    <w:p>
      <w:pPr>
        <w:widowControl w:val="0"/>
        <w:wordWrap/>
        <w:adjustRightInd/>
        <w:snapToGrid/>
        <w:spacing w:line="540" w:lineRule="exact"/>
        <w:ind w:left="0" w:leftChars="0" w:right="0" w:firstLine="640" w:firstLineChars="200"/>
        <w:jc w:val="both"/>
        <w:textAlignment w:val="auto"/>
        <w:outlineLvl w:val="9"/>
        <w:rPr>
          <w:rFonts w:hint="eastAsia" w:ascii="仿宋_GB2312" w:eastAsia="仿宋_GB2312"/>
          <w:sz w:val="32"/>
        </w:rPr>
      </w:pPr>
      <w:r>
        <w:rPr>
          <w:rFonts w:hint="eastAsia" w:ascii="仿宋_GB2312" w:eastAsia="仿宋_GB2312"/>
          <w:sz w:val="32"/>
        </w:rPr>
        <w:t>简化审理程序的破产案件如无审计必要，可由管理人完成债务审查、财产调查后形成清算报告，报人民法院审查裁定后宣告债务人破产。</w:t>
      </w:r>
    </w:p>
    <w:p>
      <w:pPr>
        <w:widowControl w:val="0"/>
        <w:wordWrap/>
        <w:adjustRightInd/>
        <w:snapToGrid/>
        <w:spacing w:line="540" w:lineRule="exact"/>
        <w:ind w:left="0" w:leftChars="0" w:right="0" w:firstLine="643" w:firstLineChars="200"/>
        <w:jc w:val="both"/>
        <w:textAlignment w:val="auto"/>
        <w:outlineLvl w:val="9"/>
        <w:rPr>
          <w:rFonts w:hint="eastAsia" w:ascii="仿宋_GB2312" w:eastAsia="仿宋_GB2312"/>
          <w:sz w:val="32"/>
        </w:rPr>
      </w:pPr>
      <w:r>
        <w:rPr>
          <w:rFonts w:hint="eastAsia" w:ascii="仿宋_GB2312" w:eastAsia="仿宋_GB2312"/>
          <w:b/>
          <w:sz w:val="32"/>
        </w:rPr>
        <w:t>第十九条</w:t>
      </w:r>
      <w:r>
        <w:rPr>
          <w:rFonts w:hint="eastAsia" w:ascii="仿宋_GB2312" w:eastAsia="仿宋_GB2312"/>
          <w:sz w:val="32"/>
        </w:rPr>
        <w:t xml:space="preserve">  经审查认为符合宣告破产条件的，一般应在第一次债权人会议召开后十五日至三十日内裁定宣告破产，并自裁定作出之日起三日内送达债务人和管理人，五日内通知已知债权人，并予以公告。</w:t>
      </w:r>
    </w:p>
    <w:p>
      <w:pPr>
        <w:widowControl w:val="0"/>
        <w:wordWrap/>
        <w:adjustRightInd/>
        <w:snapToGrid/>
        <w:spacing w:line="540" w:lineRule="exact"/>
        <w:ind w:left="0" w:leftChars="0" w:right="0" w:firstLine="643" w:firstLineChars="200"/>
        <w:jc w:val="both"/>
        <w:textAlignment w:val="auto"/>
        <w:outlineLvl w:val="9"/>
        <w:rPr>
          <w:rFonts w:hint="eastAsia" w:ascii="仿宋_GB2312" w:eastAsia="仿宋_GB2312"/>
          <w:sz w:val="32"/>
        </w:rPr>
      </w:pPr>
      <w:r>
        <w:rPr>
          <w:rFonts w:hint="eastAsia" w:ascii="仿宋_GB2312" w:eastAsia="仿宋_GB2312"/>
          <w:b/>
          <w:sz w:val="32"/>
        </w:rPr>
        <w:t>第二十条</w:t>
      </w:r>
      <w:r>
        <w:rPr>
          <w:rFonts w:hint="eastAsia" w:ascii="仿宋_GB2312" w:eastAsia="仿宋_GB2312"/>
          <w:sz w:val="32"/>
        </w:rPr>
        <w:t xml:space="preserve">  人民法院应当在收到管理人终结破产程序申请之日起五日内作出是否终结破产程序的裁定，并于三日内公告。</w:t>
      </w:r>
    </w:p>
    <w:p>
      <w:pPr>
        <w:widowControl w:val="0"/>
        <w:wordWrap/>
        <w:adjustRightInd/>
        <w:snapToGrid/>
        <w:spacing w:line="540" w:lineRule="exact"/>
        <w:ind w:left="0" w:leftChars="0" w:right="0" w:firstLine="643" w:firstLineChars="200"/>
        <w:jc w:val="both"/>
        <w:textAlignment w:val="auto"/>
        <w:outlineLvl w:val="9"/>
        <w:rPr>
          <w:rFonts w:hint="eastAsia" w:ascii="仿宋_GB2312" w:eastAsia="仿宋_GB2312"/>
          <w:sz w:val="32"/>
        </w:rPr>
      </w:pPr>
      <w:r>
        <w:rPr>
          <w:rFonts w:hint="eastAsia" w:ascii="仿宋_GB2312" w:eastAsia="仿宋_GB2312"/>
          <w:b/>
          <w:sz w:val="32"/>
        </w:rPr>
        <w:t>第二十一条</w:t>
      </w:r>
      <w:r>
        <w:rPr>
          <w:rFonts w:hint="eastAsia" w:ascii="仿宋_GB2312" w:eastAsia="仿宋_GB2312"/>
          <w:sz w:val="32"/>
        </w:rPr>
        <w:t xml:space="preserve">  管理人应当在破产程序终结之日起三个工作日内，持人民法院终结破产程序的裁定，向破产企业的原登记机关申请办理注销登记。</w:t>
      </w:r>
    </w:p>
    <w:p>
      <w:pPr>
        <w:spacing w:line="600" w:lineRule="exact"/>
        <w:ind w:firstLine="640" w:firstLineChars="200"/>
        <w:rPr>
          <w:rFonts w:hint="eastAsia" w:ascii="仿宋_GB2312" w:eastAsia="仿宋_GB2312"/>
          <w:sz w:val="32"/>
        </w:rPr>
      </w:pPr>
    </w:p>
    <w:p>
      <w:pPr>
        <w:spacing w:line="600" w:lineRule="exact"/>
        <w:rPr>
          <w:rFonts w:ascii="仿宋" w:eastAsia="仿宋"/>
          <w:sz w:val="32"/>
        </w:rPr>
      </w:pPr>
      <w:r>
        <w:rPr>
          <w:rFonts w:hint="eastAsia" w:ascii="仿宋_GB2312" w:eastAsia="仿宋_GB2312"/>
          <w:sz w:val="32"/>
        </w:rPr>
        <w:t xml:space="preserve">           </w:t>
      </w:r>
    </w:p>
    <w:sectPr>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方正小标宋简体">
    <w:altName w:val="汉仪书宋二KW"/>
    <w:panose1 w:val="03000509000000000000"/>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6040FB"/>
    <w:rsid w:val="00001160"/>
    <w:rsid w:val="00001444"/>
    <w:rsid w:val="0000191B"/>
    <w:rsid w:val="00001CB6"/>
    <w:rsid w:val="000064AD"/>
    <w:rsid w:val="000065EA"/>
    <w:rsid w:val="000131E1"/>
    <w:rsid w:val="00013E3E"/>
    <w:rsid w:val="00017262"/>
    <w:rsid w:val="000178F4"/>
    <w:rsid w:val="0002298D"/>
    <w:rsid w:val="00023AAD"/>
    <w:rsid w:val="00024237"/>
    <w:rsid w:val="00025158"/>
    <w:rsid w:val="00025BB5"/>
    <w:rsid w:val="00036334"/>
    <w:rsid w:val="00046B61"/>
    <w:rsid w:val="00047D58"/>
    <w:rsid w:val="000574F4"/>
    <w:rsid w:val="00057940"/>
    <w:rsid w:val="000601E4"/>
    <w:rsid w:val="00062A59"/>
    <w:rsid w:val="000653AA"/>
    <w:rsid w:val="00070C70"/>
    <w:rsid w:val="00073005"/>
    <w:rsid w:val="0007726D"/>
    <w:rsid w:val="00080EE8"/>
    <w:rsid w:val="0008211F"/>
    <w:rsid w:val="00085057"/>
    <w:rsid w:val="00097641"/>
    <w:rsid w:val="000B23FC"/>
    <w:rsid w:val="000B3C87"/>
    <w:rsid w:val="000B6924"/>
    <w:rsid w:val="000C0A4C"/>
    <w:rsid w:val="000C75B9"/>
    <w:rsid w:val="000E0592"/>
    <w:rsid w:val="000E3B8D"/>
    <w:rsid w:val="000E43CA"/>
    <w:rsid w:val="000E4B4F"/>
    <w:rsid w:val="000E78A1"/>
    <w:rsid w:val="000F6005"/>
    <w:rsid w:val="001111F9"/>
    <w:rsid w:val="0011537F"/>
    <w:rsid w:val="00115605"/>
    <w:rsid w:val="00117050"/>
    <w:rsid w:val="00121622"/>
    <w:rsid w:val="0012334A"/>
    <w:rsid w:val="00124642"/>
    <w:rsid w:val="001278A7"/>
    <w:rsid w:val="00130C8E"/>
    <w:rsid w:val="00131FAE"/>
    <w:rsid w:val="00131FF0"/>
    <w:rsid w:val="00134F8D"/>
    <w:rsid w:val="00146D50"/>
    <w:rsid w:val="001529B3"/>
    <w:rsid w:val="0015473D"/>
    <w:rsid w:val="0016018B"/>
    <w:rsid w:val="00161D09"/>
    <w:rsid w:val="001647C8"/>
    <w:rsid w:val="0017773D"/>
    <w:rsid w:val="00180B0B"/>
    <w:rsid w:val="00184D2B"/>
    <w:rsid w:val="00190F7A"/>
    <w:rsid w:val="00193D35"/>
    <w:rsid w:val="001A1900"/>
    <w:rsid w:val="001A3614"/>
    <w:rsid w:val="001A40EF"/>
    <w:rsid w:val="001A49BE"/>
    <w:rsid w:val="001A73AA"/>
    <w:rsid w:val="001B415F"/>
    <w:rsid w:val="001B5C45"/>
    <w:rsid w:val="001B6522"/>
    <w:rsid w:val="001C1A2B"/>
    <w:rsid w:val="001C43B0"/>
    <w:rsid w:val="001C599D"/>
    <w:rsid w:val="001D0061"/>
    <w:rsid w:val="001D570B"/>
    <w:rsid w:val="001F2A5E"/>
    <w:rsid w:val="001F2EBF"/>
    <w:rsid w:val="00202B5F"/>
    <w:rsid w:val="00204450"/>
    <w:rsid w:val="00205725"/>
    <w:rsid w:val="00211C84"/>
    <w:rsid w:val="00212E86"/>
    <w:rsid w:val="00216378"/>
    <w:rsid w:val="00223ADD"/>
    <w:rsid w:val="002246B8"/>
    <w:rsid w:val="002249F1"/>
    <w:rsid w:val="0022614B"/>
    <w:rsid w:val="0023136D"/>
    <w:rsid w:val="00234269"/>
    <w:rsid w:val="00235458"/>
    <w:rsid w:val="00236860"/>
    <w:rsid w:val="002407F8"/>
    <w:rsid w:val="00242278"/>
    <w:rsid w:val="0025320A"/>
    <w:rsid w:val="00257B27"/>
    <w:rsid w:val="002653DF"/>
    <w:rsid w:val="002754F6"/>
    <w:rsid w:val="00277CB0"/>
    <w:rsid w:val="0028184F"/>
    <w:rsid w:val="002837B8"/>
    <w:rsid w:val="0029002C"/>
    <w:rsid w:val="00291216"/>
    <w:rsid w:val="0029566E"/>
    <w:rsid w:val="002A0C6C"/>
    <w:rsid w:val="002A1A7B"/>
    <w:rsid w:val="002A2999"/>
    <w:rsid w:val="002A7F5A"/>
    <w:rsid w:val="002B36C0"/>
    <w:rsid w:val="002C5300"/>
    <w:rsid w:val="002D0DB3"/>
    <w:rsid w:val="002D1B4A"/>
    <w:rsid w:val="002D2D0F"/>
    <w:rsid w:val="002D502E"/>
    <w:rsid w:val="002D7787"/>
    <w:rsid w:val="002E23CD"/>
    <w:rsid w:val="002E394B"/>
    <w:rsid w:val="002E3C4D"/>
    <w:rsid w:val="002E3E41"/>
    <w:rsid w:val="002F6148"/>
    <w:rsid w:val="002F66B5"/>
    <w:rsid w:val="003005AA"/>
    <w:rsid w:val="0030149B"/>
    <w:rsid w:val="00310203"/>
    <w:rsid w:val="0031169B"/>
    <w:rsid w:val="003176F2"/>
    <w:rsid w:val="00320DBD"/>
    <w:rsid w:val="00320F9E"/>
    <w:rsid w:val="0032524B"/>
    <w:rsid w:val="00327666"/>
    <w:rsid w:val="003313B3"/>
    <w:rsid w:val="003316DA"/>
    <w:rsid w:val="003327B6"/>
    <w:rsid w:val="00332A95"/>
    <w:rsid w:val="0033306D"/>
    <w:rsid w:val="00341C58"/>
    <w:rsid w:val="0034395C"/>
    <w:rsid w:val="00343BCA"/>
    <w:rsid w:val="0034506C"/>
    <w:rsid w:val="003512F9"/>
    <w:rsid w:val="00355A5B"/>
    <w:rsid w:val="00361DD6"/>
    <w:rsid w:val="0036268C"/>
    <w:rsid w:val="00367F40"/>
    <w:rsid w:val="003702E2"/>
    <w:rsid w:val="00374B7E"/>
    <w:rsid w:val="00380E0C"/>
    <w:rsid w:val="00382E5D"/>
    <w:rsid w:val="0039320D"/>
    <w:rsid w:val="00394278"/>
    <w:rsid w:val="00394378"/>
    <w:rsid w:val="003A3FBE"/>
    <w:rsid w:val="003A4BCA"/>
    <w:rsid w:val="003A7C6F"/>
    <w:rsid w:val="003B5AC2"/>
    <w:rsid w:val="003C0747"/>
    <w:rsid w:val="003C0AC6"/>
    <w:rsid w:val="003C10E2"/>
    <w:rsid w:val="003D2D46"/>
    <w:rsid w:val="003D5503"/>
    <w:rsid w:val="003E5D8C"/>
    <w:rsid w:val="003E78E8"/>
    <w:rsid w:val="003F226A"/>
    <w:rsid w:val="00404B27"/>
    <w:rsid w:val="00412E53"/>
    <w:rsid w:val="00414C9A"/>
    <w:rsid w:val="00415CDA"/>
    <w:rsid w:val="0042462B"/>
    <w:rsid w:val="004264ED"/>
    <w:rsid w:val="0043174C"/>
    <w:rsid w:val="00431EF4"/>
    <w:rsid w:val="00432A30"/>
    <w:rsid w:val="00432B97"/>
    <w:rsid w:val="0043706F"/>
    <w:rsid w:val="00446807"/>
    <w:rsid w:val="00457AE8"/>
    <w:rsid w:val="004613BB"/>
    <w:rsid w:val="00462BFB"/>
    <w:rsid w:val="0047582B"/>
    <w:rsid w:val="0048202C"/>
    <w:rsid w:val="00486258"/>
    <w:rsid w:val="004865B3"/>
    <w:rsid w:val="004866BF"/>
    <w:rsid w:val="00492CA3"/>
    <w:rsid w:val="004A0385"/>
    <w:rsid w:val="004A12B7"/>
    <w:rsid w:val="004A37BF"/>
    <w:rsid w:val="004A6A54"/>
    <w:rsid w:val="004B0C98"/>
    <w:rsid w:val="004B3341"/>
    <w:rsid w:val="004B5DF8"/>
    <w:rsid w:val="004C6304"/>
    <w:rsid w:val="004C6410"/>
    <w:rsid w:val="004D1BEA"/>
    <w:rsid w:val="004D3C6B"/>
    <w:rsid w:val="004D5258"/>
    <w:rsid w:val="004D5A6B"/>
    <w:rsid w:val="004D7235"/>
    <w:rsid w:val="004E12F6"/>
    <w:rsid w:val="004E1693"/>
    <w:rsid w:val="004E225C"/>
    <w:rsid w:val="004E410E"/>
    <w:rsid w:val="004E52D4"/>
    <w:rsid w:val="004F0360"/>
    <w:rsid w:val="004F0706"/>
    <w:rsid w:val="004F099D"/>
    <w:rsid w:val="004F1DEF"/>
    <w:rsid w:val="004F24C5"/>
    <w:rsid w:val="00514FD5"/>
    <w:rsid w:val="0051500F"/>
    <w:rsid w:val="005159AF"/>
    <w:rsid w:val="005200D5"/>
    <w:rsid w:val="00520347"/>
    <w:rsid w:val="00521143"/>
    <w:rsid w:val="005238D6"/>
    <w:rsid w:val="0053637E"/>
    <w:rsid w:val="005416FB"/>
    <w:rsid w:val="005423CC"/>
    <w:rsid w:val="00543F50"/>
    <w:rsid w:val="00544769"/>
    <w:rsid w:val="00545B71"/>
    <w:rsid w:val="005543CF"/>
    <w:rsid w:val="00557AA5"/>
    <w:rsid w:val="00561ADE"/>
    <w:rsid w:val="005674E1"/>
    <w:rsid w:val="00574354"/>
    <w:rsid w:val="005758C3"/>
    <w:rsid w:val="00581BC4"/>
    <w:rsid w:val="005840F0"/>
    <w:rsid w:val="00586918"/>
    <w:rsid w:val="005933A4"/>
    <w:rsid w:val="0059699A"/>
    <w:rsid w:val="005A0335"/>
    <w:rsid w:val="005A208A"/>
    <w:rsid w:val="005A27CA"/>
    <w:rsid w:val="005A6721"/>
    <w:rsid w:val="005B7239"/>
    <w:rsid w:val="005B761C"/>
    <w:rsid w:val="005C41BB"/>
    <w:rsid w:val="005C66C8"/>
    <w:rsid w:val="005C7535"/>
    <w:rsid w:val="005E2FB3"/>
    <w:rsid w:val="005E4749"/>
    <w:rsid w:val="005F47B2"/>
    <w:rsid w:val="006040FB"/>
    <w:rsid w:val="006056EE"/>
    <w:rsid w:val="006114FC"/>
    <w:rsid w:val="00612076"/>
    <w:rsid w:val="006154B1"/>
    <w:rsid w:val="0062324F"/>
    <w:rsid w:val="00627312"/>
    <w:rsid w:val="006305CC"/>
    <w:rsid w:val="0063207C"/>
    <w:rsid w:val="00632229"/>
    <w:rsid w:val="00636160"/>
    <w:rsid w:val="00636861"/>
    <w:rsid w:val="006403C8"/>
    <w:rsid w:val="00644765"/>
    <w:rsid w:val="00645D17"/>
    <w:rsid w:val="00646E03"/>
    <w:rsid w:val="00647AE3"/>
    <w:rsid w:val="00652B45"/>
    <w:rsid w:val="00656D29"/>
    <w:rsid w:val="00664906"/>
    <w:rsid w:val="00671162"/>
    <w:rsid w:val="00673017"/>
    <w:rsid w:val="00675DBF"/>
    <w:rsid w:val="0067670D"/>
    <w:rsid w:val="00681474"/>
    <w:rsid w:val="00683738"/>
    <w:rsid w:val="006925DA"/>
    <w:rsid w:val="006965AC"/>
    <w:rsid w:val="00697EB8"/>
    <w:rsid w:val="006A1F8E"/>
    <w:rsid w:val="006A4A24"/>
    <w:rsid w:val="006B0BCD"/>
    <w:rsid w:val="006B349D"/>
    <w:rsid w:val="006C0820"/>
    <w:rsid w:val="006C0A77"/>
    <w:rsid w:val="006C2131"/>
    <w:rsid w:val="006C3870"/>
    <w:rsid w:val="006C5126"/>
    <w:rsid w:val="006D0484"/>
    <w:rsid w:val="006D1F61"/>
    <w:rsid w:val="006D2054"/>
    <w:rsid w:val="006D30C8"/>
    <w:rsid w:val="006D4A46"/>
    <w:rsid w:val="006D4C5A"/>
    <w:rsid w:val="006D5622"/>
    <w:rsid w:val="006E09E4"/>
    <w:rsid w:val="006E5449"/>
    <w:rsid w:val="006F0BFA"/>
    <w:rsid w:val="0070422A"/>
    <w:rsid w:val="0070711E"/>
    <w:rsid w:val="0070783A"/>
    <w:rsid w:val="00707CCD"/>
    <w:rsid w:val="00710E5A"/>
    <w:rsid w:val="00712966"/>
    <w:rsid w:val="00714C47"/>
    <w:rsid w:val="00723CE4"/>
    <w:rsid w:val="00724AAA"/>
    <w:rsid w:val="00725537"/>
    <w:rsid w:val="0072597C"/>
    <w:rsid w:val="007303E9"/>
    <w:rsid w:val="00733457"/>
    <w:rsid w:val="00742382"/>
    <w:rsid w:val="007424EC"/>
    <w:rsid w:val="00743612"/>
    <w:rsid w:val="00752E9B"/>
    <w:rsid w:val="0075656E"/>
    <w:rsid w:val="007700D8"/>
    <w:rsid w:val="00771C7D"/>
    <w:rsid w:val="00774063"/>
    <w:rsid w:val="007755FB"/>
    <w:rsid w:val="00777024"/>
    <w:rsid w:val="00777F11"/>
    <w:rsid w:val="00780509"/>
    <w:rsid w:val="00780ABD"/>
    <w:rsid w:val="00781149"/>
    <w:rsid w:val="00781689"/>
    <w:rsid w:val="00782EE2"/>
    <w:rsid w:val="00783DD6"/>
    <w:rsid w:val="00784F98"/>
    <w:rsid w:val="00786992"/>
    <w:rsid w:val="00794C6A"/>
    <w:rsid w:val="00795B89"/>
    <w:rsid w:val="007A196C"/>
    <w:rsid w:val="007A3621"/>
    <w:rsid w:val="007A6A8E"/>
    <w:rsid w:val="007B6449"/>
    <w:rsid w:val="007C2B87"/>
    <w:rsid w:val="007C3696"/>
    <w:rsid w:val="007C43BE"/>
    <w:rsid w:val="007C517E"/>
    <w:rsid w:val="007C5F2D"/>
    <w:rsid w:val="007C673F"/>
    <w:rsid w:val="007E51C1"/>
    <w:rsid w:val="007F26C1"/>
    <w:rsid w:val="007F564C"/>
    <w:rsid w:val="0080492B"/>
    <w:rsid w:val="00805221"/>
    <w:rsid w:val="00820060"/>
    <w:rsid w:val="00820708"/>
    <w:rsid w:val="008344FE"/>
    <w:rsid w:val="00834A51"/>
    <w:rsid w:val="00837A8F"/>
    <w:rsid w:val="00840265"/>
    <w:rsid w:val="00842516"/>
    <w:rsid w:val="00847A76"/>
    <w:rsid w:val="00850F8B"/>
    <w:rsid w:val="00856466"/>
    <w:rsid w:val="008565F6"/>
    <w:rsid w:val="00863510"/>
    <w:rsid w:val="00864776"/>
    <w:rsid w:val="008663ED"/>
    <w:rsid w:val="00870601"/>
    <w:rsid w:val="008708EB"/>
    <w:rsid w:val="00870C68"/>
    <w:rsid w:val="00870E6D"/>
    <w:rsid w:val="00877580"/>
    <w:rsid w:val="0088310B"/>
    <w:rsid w:val="00887569"/>
    <w:rsid w:val="0089309F"/>
    <w:rsid w:val="00897293"/>
    <w:rsid w:val="008A0996"/>
    <w:rsid w:val="008A4450"/>
    <w:rsid w:val="008C096F"/>
    <w:rsid w:val="008C0C23"/>
    <w:rsid w:val="008C1093"/>
    <w:rsid w:val="008C1578"/>
    <w:rsid w:val="008D09BA"/>
    <w:rsid w:val="008D106E"/>
    <w:rsid w:val="008D15A7"/>
    <w:rsid w:val="008D3027"/>
    <w:rsid w:val="008D4253"/>
    <w:rsid w:val="008E20BC"/>
    <w:rsid w:val="008E2C0C"/>
    <w:rsid w:val="008E7A08"/>
    <w:rsid w:val="008F4077"/>
    <w:rsid w:val="008F65AC"/>
    <w:rsid w:val="00921172"/>
    <w:rsid w:val="0092118F"/>
    <w:rsid w:val="009213B2"/>
    <w:rsid w:val="00922BB6"/>
    <w:rsid w:val="009235B4"/>
    <w:rsid w:val="00924A90"/>
    <w:rsid w:val="009279A0"/>
    <w:rsid w:val="00934B5A"/>
    <w:rsid w:val="009365CB"/>
    <w:rsid w:val="0094060B"/>
    <w:rsid w:val="0094370C"/>
    <w:rsid w:val="00943C05"/>
    <w:rsid w:val="009467D9"/>
    <w:rsid w:val="009519F8"/>
    <w:rsid w:val="00953DC5"/>
    <w:rsid w:val="00954098"/>
    <w:rsid w:val="00955A5C"/>
    <w:rsid w:val="009571C5"/>
    <w:rsid w:val="0095779B"/>
    <w:rsid w:val="00960B10"/>
    <w:rsid w:val="009640EE"/>
    <w:rsid w:val="00964431"/>
    <w:rsid w:val="00971976"/>
    <w:rsid w:val="00973AF8"/>
    <w:rsid w:val="00982B79"/>
    <w:rsid w:val="00991BBD"/>
    <w:rsid w:val="009A1747"/>
    <w:rsid w:val="009A46F7"/>
    <w:rsid w:val="009A55C2"/>
    <w:rsid w:val="009B4BBE"/>
    <w:rsid w:val="009B5A37"/>
    <w:rsid w:val="009C046F"/>
    <w:rsid w:val="009C408A"/>
    <w:rsid w:val="009C481E"/>
    <w:rsid w:val="009C4AAD"/>
    <w:rsid w:val="009D0654"/>
    <w:rsid w:val="009D4452"/>
    <w:rsid w:val="009D6856"/>
    <w:rsid w:val="009D6BD1"/>
    <w:rsid w:val="009E2C25"/>
    <w:rsid w:val="009E5F40"/>
    <w:rsid w:val="009F1B16"/>
    <w:rsid w:val="009F37B7"/>
    <w:rsid w:val="009F3C42"/>
    <w:rsid w:val="009F6A86"/>
    <w:rsid w:val="00A000C6"/>
    <w:rsid w:val="00A01414"/>
    <w:rsid w:val="00A06946"/>
    <w:rsid w:val="00A10500"/>
    <w:rsid w:val="00A112D4"/>
    <w:rsid w:val="00A13435"/>
    <w:rsid w:val="00A13659"/>
    <w:rsid w:val="00A13B5F"/>
    <w:rsid w:val="00A1789F"/>
    <w:rsid w:val="00A2489F"/>
    <w:rsid w:val="00A25819"/>
    <w:rsid w:val="00A276C9"/>
    <w:rsid w:val="00A27DA6"/>
    <w:rsid w:val="00A35C3B"/>
    <w:rsid w:val="00A37B06"/>
    <w:rsid w:val="00A419F7"/>
    <w:rsid w:val="00A42420"/>
    <w:rsid w:val="00A5398D"/>
    <w:rsid w:val="00A64242"/>
    <w:rsid w:val="00A753B9"/>
    <w:rsid w:val="00A75F0C"/>
    <w:rsid w:val="00A825A3"/>
    <w:rsid w:val="00A82680"/>
    <w:rsid w:val="00A84DAD"/>
    <w:rsid w:val="00A8527C"/>
    <w:rsid w:val="00A87174"/>
    <w:rsid w:val="00A9264A"/>
    <w:rsid w:val="00A92C21"/>
    <w:rsid w:val="00A943A6"/>
    <w:rsid w:val="00AA1EE7"/>
    <w:rsid w:val="00AA5B07"/>
    <w:rsid w:val="00AA74F9"/>
    <w:rsid w:val="00AB4044"/>
    <w:rsid w:val="00AC1871"/>
    <w:rsid w:val="00AC58B1"/>
    <w:rsid w:val="00AC7AEA"/>
    <w:rsid w:val="00AD386A"/>
    <w:rsid w:val="00AD6535"/>
    <w:rsid w:val="00AE4073"/>
    <w:rsid w:val="00AE48A9"/>
    <w:rsid w:val="00AE58CA"/>
    <w:rsid w:val="00AE5F80"/>
    <w:rsid w:val="00AF3385"/>
    <w:rsid w:val="00AF352F"/>
    <w:rsid w:val="00AF3D2E"/>
    <w:rsid w:val="00B01232"/>
    <w:rsid w:val="00B11404"/>
    <w:rsid w:val="00B14467"/>
    <w:rsid w:val="00B17FF5"/>
    <w:rsid w:val="00B224C1"/>
    <w:rsid w:val="00B3017C"/>
    <w:rsid w:val="00B33613"/>
    <w:rsid w:val="00B40170"/>
    <w:rsid w:val="00B413EB"/>
    <w:rsid w:val="00B419B7"/>
    <w:rsid w:val="00B424A2"/>
    <w:rsid w:val="00B445A8"/>
    <w:rsid w:val="00B53BB5"/>
    <w:rsid w:val="00B54E98"/>
    <w:rsid w:val="00B55039"/>
    <w:rsid w:val="00B55E64"/>
    <w:rsid w:val="00B55FD1"/>
    <w:rsid w:val="00B5712B"/>
    <w:rsid w:val="00B618C3"/>
    <w:rsid w:val="00B63F6B"/>
    <w:rsid w:val="00B66066"/>
    <w:rsid w:val="00B73305"/>
    <w:rsid w:val="00B73F3D"/>
    <w:rsid w:val="00B74628"/>
    <w:rsid w:val="00B76F0F"/>
    <w:rsid w:val="00B805BD"/>
    <w:rsid w:val="00B846E0"/>
    <w:rsid w:val="00B84799"/>
    <w:rsid w:val="00B84E28"/>
    <w:rsid w:val="00B85DB2"/>
    <w:rsid w:val="00B87418"/>
    <w:rsid w:val="00B87C6C"/>
    <w:rsid w:val="00B924D3"/>
    <w:rsid w:val="00B95924"/>
    <w:rsid w:val="00B960F7"/>
    <w:rsid w:val="00BA32F0"/>
    <w:rsid w:val="00BA424C"/>
    <w:rsid w:val="00BA474D"/>
    <w:rsid w:val="00BA7112"/>
    <w:rsid w:val="00BB3AC3"/>
    <w:rsid w:val="00BB504C"/>
    <w:rsid w:val="00BC0862"/>
    <w:rsid w:val="00BC2D7D"/>
    <w:rsid w:val="00BC3063"/>
    <w:rsid w:val="00BC78EA"/>
    <w:rsid w:val="00BD4F10"/>
    <w:rsid w:val="00BD5968"/>
    <w:rsid w:val="00BD63DA"/>
    <w:rsid w:val="00BD6A75"/>
    <w:rsid w:val="00BD7EB8"/>
    <w:rsid w:val="00BE23CD"/>
    <w:rsid w:val="00BE2CF2"/>
    <w:rsid w:val="00BE7DC6"/>
    <w:rsid w:val="00BF4283"/>
    <w:rsid w:val="00BF4A1E"/>
    <w:rsid w:val="00BF6397"/>
    <w:rsid w:val="00BF7086"/>
    <w:rsid w:val="00C01861"/>
    <w:rsid w:val="00C06974"/>
    <w:rsid w:val="00C17BE9"/>
    <w:rsid w:val="00C212F6"/>
    <w:rsid w:val="00C27376"/>
    <w:rsid w:val="00C31CF3"/>
    <w:rsid w:val="00C326E2"/>
    <w:rsid w:val="00C37418"/>
    <w:rsid w:val="00C402B6"/>
    <w:rsid w:val="00C40378"/>
    <w:rsid w:val="00C41C0C"/>
    <w:rsid w:val="00C42BD6"/>
    <w:rsid w:val="00C43810"/>
    <w:rsid w:val="00C5243D"/>
    <w:rsid w:val="00C56CC6"/>
    <w:rsid w:val="00C6375C"/>
    <w:rsid w:val="00C6404A"/>
    <w:rsid w:val="00C640FF"/>
    <w:rsid w:val="00C65E4D"/>
    <w:rsid w:val="00C7187C"/>
    <w:rsid w:val="00C75A22"/>
    <w:rsid w:val="00C76E24"/>
    <w:rsid w:val="00C76E60"/>
    <w:rsid w:val="00C802C1"/>
    <w:rsid w:val="00C82AA1"/>
    <w:rsid w:val="00C832E4"/>
    <w:rsid w:val="00C871AC"/>
    <w:rsid w:val="00C908C0"/>
    <w:rsid w:val="00C9138A"/>
    <w:rsid w:val="00C949B6"/>
    <w:rsid w:val="00C949CE"/>
    <w:rsid w:val="00C97422"/>
    <w:rsid w:val="00CA0AA2"/>
    <w:rsid w:val="00CA0C55"/>
    <w:rsid w:val="00CA0D71"/>
    <w:rsid w:val="00CB3345"/>
    <w:rsid w:val="00CC14E6"/>
    <w:rsid w:val="00CD078E"/>
    <w:rsid w:val="00CD24F5"/>
    <w:rsid w:val="00CD63F5"/>
    <w:rsid w:val="00CE19CD"/>
    <w:rsid w:val="00CE22AB"/>
    <w:rsid w:val="00CE2D4E"/>
    <w:rsid w:val="00CF0B62"/>
    <w:rsid w:val="00CF28C0"/>
    <w:rsid w:val="00CF3256"/>
    <w:rsid w:val="00CF4C03"/>
    <w:rsid w:val="00CF7857"/>
    <w:rsid w:val="00D00498"/>
    <w:rsid w:val="00D0192C"/>
    <w:rsid w:val="00D05309"/>
    <w:rsid w:val="00D11F92"/>
    <w:rsid w:val="00D16252"/>
    <w:rsid w:val="00D219A6"/>
    <w:rsid w:val="00D325A4"/>
    <w:rsid w:val="00D32A9A"/>
    <w:rsid w:val="00D4241F"/>
    <w:rsid w:val="00D47F0C"/>
    <w:rsid w:val="00D50194"/>
    <w:rsid w:val="00D55A7C"/>
    <w:rsid w:val="00D61CB9"/>
    <w:rsid w:val="00D62BE1"/>
    <w:rsid w:val="00D64061"/>
    <w:rsid w:val="00D7662F"/>
    <w:rsid w:val="00D76997"/>
    <w:rsid w:val="00D81AB9"/>
    <w:rsid w:val="00D81BA3"/>
    <w:rsid w:val="00D840B0"/>
    <w:rsid w:val="00D85218"/>
    <w:rsid w:val="00D94D11"/>
    <w:rsid w:val="00D956DF"/>
    <w:rsid w:val="00D95DA0"/>
    <w:rsid w:val="00D9660C"/>
    <w:rsid w:val="00DA20DE"/>
    <w:rsid w:val="00DB3815"/>
    <w:rsid w:val="00DB6A7C"/>
    <w:rsid w:val="00DB7561"/>
    <w:rsid w:val="00DC1949"/>
    <w:rsid w:val="00DD049A"/>
    <w:rsid w:val="00DD0981"/>
    <w:rsid w:val="00DD24F1"/>
    <w:rsid w:val="00DD6FEA"/>
    <w:rsid w:val="00DD7821"/>
    <w:rsid w:val="00DE29ED"/>
    <w:rsid w:val="00DF1271"/>
    <w:rsid w:val="00DF3D2A"/>
    <w:rsid w:val="00E03CC2"/>
    <w:rsid w:val="00E132CA"/>
    <w:rsid w:val="00E1670E"/>
    <w:rsid w:val="00E1758D"/>
    <w:rsid w:val="00E33863"/>
    <w:rsid w:val="00E34A62"/>
    <w:rsid w:val="00E35413"/>
    <w:rsid w:val="00E402D8"/>
    <w:rsid w:val="00E421BE"/>
    <w:rsid w:val="00E4221C"/>
    <w:rsid w:val="00E43056"/>
    <w:rsid w:val="00E47D51"/>
    <w:rsid w:val="00E503CC"/>
    <w:rsid w:val="00E55323"/>
    <w:rsid w:val="00E600E0"/>
    <w:rsid w:val="00E64149"/>
    <w:rsid w:val="00E71C3B"/>
    <w:rsid w:val="00E84B4D"/>
    <w:rsid w:val="00E85CC8"/>
    <w:rsid w:val="00E905D1"/>
    <w:rsid w:val="00E909AD"/>
    <w:rsid w:val="00E93291"/>
    <w:rsid w:val="00E9342E"/>
    <w:rsid w:val="00E93D99"/>
    <w:rsid w:val="00E96FD0"/>
    <w:rsid w:val="00E972FA"/>
    <w:rsid w:val="00EA6B1C"/>
    <w:rsid w:val="00EA7B7D"/>
    <w:rsid w:val="00EC30AD"/>
    <w:rsid w:val="00EC5CEF"/>
    <w:rsid w:val="00EC69E6"/>
    <w:rsid w:val="00ED1004"/>
    <w:rsid w:val="00ED13FA"/>
    <w:rsid w:val="00ED2DB9"/>
    <w:rsid w:val="00ED3AAF"/>
    <w:rsid w:val="00ED7360"/>
    <w:rsid w:val="00EE1883"/>
    <w:rsid w:val="00EE226D"/>
    <w:rsid w:val="00EE2BD3"/>
    <w:rsid w:val="00EE2BE6"/>
    <w:rsid w:val="00EE3B8D"/>
    <w:rsid w:val="00EE5B76"/>
    <w:rsid w:val="00EF1B03"/>
    <w:rsid w:val="00F017BB"/>
    <w:rsid w:val="00F03A62"/>
    <w:rsid w:val="00F05496"/>
    <w:rsid w:val="00F069A0"/>
    <w:rsid w:val="00F07AC8"/>
    <w:rsid w:val="00F10AEB"/>
    <w:rsid w:val="00F121E9"/>
    <w:rsid w:val="00F12B48"/>
    <w:rsid w:val="00F13F95"/>
    <w:rsid w:val="00F172BF"/>
    <w:rsid w:val="00F249DB"/>
    <w:rsid w:val="00F2589A"/>
    <w:rsid w:val="00F26392"/>
    <w:rsid w:val="00F26DF5"/>
    <w:rsid w:val="00F27DF2"/>
    <w:rsid w:val="00F3103B"/>
    <w:rsid w:val="00F314F1"/>
    <w:rsid w:val="00F32E94"/>
    <w:rsid w:val="00F34BCE"/>
    <w:rsid w:val="00F35F81"/>
    <w:rsid w:val="00F37EE0"/>
    <w:rsid w:val="00F401E6"/>
    <w:rsid w:val="00F4066D"/>
    <w:rsid w:val="00F41EB4"/>
    <w:rsid w:val="00F4284D"/>
    <w:rsid w:val="00F46456"/>
    <w:rsid w:val="00F469E0"/>
    <w:rsid w:val="00F55184"/>
    <w:rsid w:val="00F65413"/>
    <w:rsid w:val="00F70505"/>
    <w:rsid w:val="00F77DD5"/>
    <w:rsid w:val="00F80015"/>
    <w:rsid w:val="00F860BB"/>
    <w:rsid w:val="00F86BF3"/>
    <w:rsid w:val="00F86D90"/>
    <w:rsid w:val="00F939FE"/>
    <w:rsid w:val="00F94C54"/>
    <w:rsid w:val="00FA28EA"/>
    <w:rsid w:val="00FA2B82"/>
    <w:rsid w:val="00FA4787"/>
    <w:rsid w:val="00FA7910"/>
    <w:rsid w:val="00FD2E7F"/>
    <w:rsid w:val="00FD7AD0"/>
    <w:rsid w:val="00FE232F"/>
    <w:rsid w:val="00FE28EF"/>
    <w:rsid w:val="00FE63D5"/>
    <w:rsid w:val="00FE648D"/>
    <w:rsid w:val="00FF7569"/>
    <w:rsid w:val="00FF76B6"/>
    <w:rsid w:val="2215172A"/>
    <w:rsid w:val="2B352836"/>
    <w:rsid w:val="54BC43C4"/>
    <w:rsid w:val="6AEC0C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uiPriority w:val="99"/>
    <w:tblPr>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批注框文本 字符"/>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401</Words>
  <Characters>2286</Characters>
  <Lines>19</Lines>
  <Paragraphs>5</Paragraphs>
  <TotalTime>1</TotalTime>
  <ScaleCrop>false</ScaleCrop>
  <LinksUpToDate>false</LinksUpToDate>
  <CharactersWithSpaces>0</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2022-10-25T10:49:00Z</dcterms:created>
  <dc:creator>John</dc:creator>
  <cp:lastModifiedBy>le soleil</cp:lastModifiedBy>
  <cp:lastPrinted>2022-10-25T18:00:00Z</cp:lastPrinted>
  <dcterms:modified xsi:type="dcterms:W3CDTF">2022-10-31T17:35:07Z</dcterms:modified>
  <dc:title>仙法发 [2022]7号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D9B172FAFBC0E25ACB965F63AFA5512C</vt:lpwstr>
  </property>
</Properties>
</file>