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6B" w:rsidRDefault="0035066B" w:rsidP="0035066B">
      <w:pPr>
        <w:pStyle w:val="a3"/>
        <w:widowControl/>
        <w:shd w:val="clear" w:color="auto" w:fill="FFFFFF"/>
        <w:spacing w:beforeAutospacing="0" w:afterAutospacing="0" w:line="600" w:lineRule="exact"/>
        <w:ind w:firstLine="646"/>
        <w:jc w:val="center"/>
        <w:rPr>
          <w:rFonts w:ascii="方正小标宋简体" w:eastAsia="方正小标宋简体" w:hAnsi="微软雅黑" w:cs="微软雅黑" w:hint="eastAsia"/>
          <w:bCs/>
          <w:color w:val="000000"/>
          <w:sz w:val="44"/>
          <w:szCs w:val="44"/>
          <w:shd w:val="clear" w:color="auto" w:fill="FFFFFF"/>
        </w:rPr>
      </w:pPr>
    </w:p>
    <w:p w:rsidR="0035066B" w:rsidRDefault="0035066B" w:rsidP="0035066B">
      <w:pPr>
        <w:pStyle w:val="a3"/>
        <w:widowControl/>
        <w:shd w:val="clear" w:color="auto" w:fill="FFFFFF"/>
        <w:spacing w:beforeAutospacing="0" w:afterAutospacing="0" w:line="600" w:lineRule="exact"/>
        <w:ind w:firstLine="646"/>
        <w:jc w:val="center"/>
        <w:rPr>
          <w:rFonts w:ascii="方正小标宋简体" w:eastAsia="方正小标宋简体" w:hAnsi="微软雅黑" w:cs="微软雅黑" w:hint="eastAsia"/>
          <w:bCs/>
          <w:color w:val="000000"/>
          <w:sz w:val="44"/>
          <w:szCs w:val="44"/>
          <w:shd w:val="clear" w:color="auto" w:fill="FFFFFF"/>
        </w:rPr>
      </w:pPr>
    </w:p>
    <w:p w:rsidR="0035066B" w:rsidRDefault="0035066B" w:rsidP="0035066B">
      <w:pPr>
        <w:pStyle w:val="a3"/>
        <w:widowControl/>
        <w:shd w:val="clear" w:color="auto" w:fill="FFFFFF"/>
        <w:spacing w:beforeAutospacing="0" w:afterAutospacing="0" w:line="600" w:lineRule="exact"/>
        <w:ind w:firstLine="646"/>
        <w:jc w:val="center"/>
        <w:rPr>
          <w:rFonts w:ascii="方正小标宋简体" w:eastAsia="方正小标宋简体" w:hAnsi="微软雅黑" w:cs="微软雅黑" w:hint="eastAsia"/>
          <w:bCs/>
          <w:color w:val="000000"/>
          <w:sz w:val="44"/>
          <w:szCs w:val="44"/>
          <w:shd w:val="clear" w:color="auto" w:fill="FFFFFF"/>
        </w:rPr>
      </w:pPr>
    </w:p>
    <w:p w:rsidR="0035066B" w:rsidRDefault="0035066B" w:rsidP="0035066B">
      <w:pPr>
        <w:pStyle w:val="a3"/>
        <w:widowControl/>
        <w:shd w:val="clear" w:color="auto" w:fill="FFFFFF"/>
        <w:spacing w:beforeAutospacing="0" w:afterAutospacing="0" w:line="600" w:lineRule="exact"/>
        <w:ind w:firstLine="646"/>
        <w:jc w:val="center"/>
        <w:rPr>
          <w:rFonts w:ascii="方正小标宋简体" w:eastAsia="方正小标宋简体" w:hAnsi="微软雅黑" w:cs="微软雅黑" w:hint="eastAsia"/>
          <w:bCs/>
          <w:color w:val="000000"/>
          <w:sz w:val="44"/>
          <w:szCs w:val="44"/>
          <w:shd w:val="clear" w:color="auto" w:fill="FFFFFF"/>
        </w:rPr>
      </w:pP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jc w:val="center"/>
        <w:rPr>
          <w:rFonts w:ascii="方正小标宋简体" w:eastAsia="方正小标宋简体" w:hAnsi="微软雅黑" w:cs="微软雅黑"/>
          <w:bCs/>
          <w:color w:val="000000"/>
          <w:sz w:val="44"/>
          <w:szCs w:val="44"/>
          <w:shd w:val="clear" w:color="auto" w:fill="FFFFFF"/>
        </w:rPr>
      </w:pPr>
      <w:r w:rsidRPr="00DA7437">
        <w:rPr>
          <w:rFonts w:ascii="方正小标宋简体" w:eastAsia="方正小标宋简体" w:hAnsi="微软雅黑" w:cs="微软雅黑" w:hint="eastAsia"/>
          <w:bCs/>
          <w:color w:val="000000"/>
          <w:sz w:val="44"/>
          <w:szCs w:val="44"/>
          <w:shd w:val="clear" w:color="auto" w:fill="FFFFFF"/>
        </w:rPr>
        <w:t>仙桃市人民法院立案庭</w:t>
      </w:r>
    </w:p>
    <w:p w:rsidR="00EE2FB5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32"/>
          <w:shd w:val="clear" w:color="auto" w:fill="FFFFFF"/>
        </w:rPr>
      </w:pPr>
      <w:r w:rsidRPr="00DA7437">
        <w:rPr>
          <w:rFonts w:ascii="方正小标宋简体" w:eastAsia="方正小标宋简体" w:hAnsi="微软雅黑" w:cs="微软雅黑" w:hint="eastAsia"/>
          <w:bCs/>
          <w:color w:val="000000"/>
          <w:sz w:val="44"/>
          <w:szCs w:val="44"/>
          <w:shd w:val="clear" w:color="auto" w:fill="FFFFFF"/>
        </w:rPr>
        <w:t>关于网上立案“容缺”受理的指引（试行）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为方便当事人诉讼，节约诉讼成本，提高诉讼效率，推进诉讼全流程提速，优化法治化营商环境，仙桃市人民法院结合工作实际，制定本指引。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第一条</w:t>
      </w:r>
      <w:r w:rsidRPr="00DA7437">
        <w:rPr>
          <w:rFonts w:ascii="??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 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 xml:space="preserve"> 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原告或申请人为法人或者其他组织的案件、委托律师代理诉讼的案件，允许当事人在提交网上立案申请时，上传起诉状（申请书）、能够确定由仙桃市人民法院管辖</w:t>
      </w:r>
      <w:bookmarkStart w:id="0" w:name="_GoBack"/>
      <w:bookmarkEnd w:id="0"/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的材料、当事人主体的材料、授权委托材料以及诉讼请求的主要证据等必要诉讼材料。当事人可自愿选择是否扫描上传与案件事实争议有关的其他材料。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第二条</w:t>
      </w:r>
      <w:r w:rsidRPr="00DA7437">
        <w:rPr>
          <w:rFonts w:ascii="??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 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 xml:space="preserve"> 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网上立案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“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容缺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”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受理适用于本院网上受理的民商事一审案件。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第三条</w:t>
      </w:r>
      <w:r w:rsidRPr="00DA7437">
        <w:rPr>
          <w:rFonts w:ascii="??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 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 xml:space="preserve"> 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原告或申请人申请网上立案时，应当上传起诉状（申请书）、与管辖有关的材料、当事人主体的材料、授权委托材料及主要证据材料。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第四条</w:t>
      </w:r>
      <w:r w:rsidRPr="00DA7437">
        <w:rPr>
          <w:rFonts w:ascii="??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 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 xml:space="preserve"> 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原告或申请人申请网上立案时，涉及实体争议的其他证据材料、执行依据中记载事实理由的主文、不必要的评估报告等非关键性材料可不在网上立案平台上传。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lastRenderedPageBreak/>
        <w:t>第五条</w:t>
      </w:r>
      <w:r w:rsidRPr="00DA7437">
        <w:rPr>
          <w:rFonts w:ascii="??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 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 xml:space="preserve"> 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原告或申请人申请网上立案必须提交的诉讼材料不符合形式要件的，不适用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“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容缺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”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受理。仙桃市人民法院将一次性全面告知应当补齐、补正的材料和期限，并根据当事人补齐、补正情况作出相应处理。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第六条</w:t>
      </w:r>
      <w:r w:rsidRPr="00DA7437">
        <w:rPr>
          <w:rFonts w:ascii="??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 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 xml:space="preserve"> 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原告或申请人申请网上立案具备以下条件时，可在立案时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“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容缺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”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受理：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（一）原告或申请人的起诉或申请符合法定条件；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（二）原告或申请人提交的必要诉讼材料齐全，仅缺少可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“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容缺</w:t>
      </w:r>
      <w:r w:rsidRPr="00DA7437">
        <w:rPr>
          <w:rFonts w:ascii="仿宋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”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的非关键性诉讼材料。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第七条</w:t>
      </w:r>
      <w:r w:rsidRPr="00DA7437">
        <w:rPr>
          <w:rFonts w:ascii="??_GB2312" w:eastAsia="仿宋_GB2312" w:hAnsi="??_GB2312" w:cs="??_GB2312" w:hint="eastAsia"/>
          <w:color w:val="000000"/>
          <w:sz w:val="32"/>
          <w:szCs w:val="32"/>
          <w:shd w:val="clear" w:color="auto" w:fill="FFFFFF"/>
        </w:rPr>
        <w:t>  </w:t>
      </w: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原告或申请人申请网上立案时未提交的其他诉讼材料可通过现场、线上、邮寄等方式提交相关承办部门。</w:t>
      </w:r>
    </w:p>
    <w:p w:rsidR="00EE2FB5" w:rsidRPr="00DA7437" w:rsidRDefault="00EE2FB5" w:rsidP="0035066B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cs="宋体"/>
          <w:color w:val="000000"/>
          <w:sz w:val="32"/>
          <w:szCs w:val="32"/>
          <w:shd w:val="clear" w:color="auto" w:fill="FFFFFF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第八条  本指引由仙桃市人民法院立案庭负责解释，自发布之日起试行。</w:t>
      </w:r>
    </w:p>
    <w:p w:rsidR="00EE2FB5" w:rsidRPr="00DA7437" w:rsidRDefault="00EE2FB5" w:rsidP="00DA7437">
      <w:pPr>
        <w:pStyle w:val="a3"/>
        <w:widowControl/>
        <w:shd w:val="clear" w:color="auto" w:fill="FFFFFF"/>
        <w:spacing w:beforeAutospacing="0" w:afterAutospacing="0" w:line="560" w:lineRule="atLeast"/>
        <w:ind w:firstLine="645"/>
        <w:rPr>
          <w:rFonts w:ascii="仿宋_GB2312" w:eastAsia="仿宋_GB2312" w:cs="宋体"/>
          <w:color w:val="000000"/>
          <w:sz w:val="32"/>
          <w:szCs w:val="32"/>
          <w:shd w:val="clear" w:color="auto" w:fill="FFFFFF"/>
        </w:rPr>
      </w:pPr>
    </w:p>
    <w:p w:rsidR="00EE2FB5" w:rsidRDefault="00EE2FB5" w:rsidP="00DA7437">
      <w:pPr>
        <w:pStyle w:val="a3"/>
        <w:widowControl/>
        <w:shd w:val="clear" w:color="auto" w:fill="FFFFFF"/>
        <w:spacing w:beforeAutospacing="0" w:afterAutospacing="0" w:line="5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  <w:r w:rsidRPr="00DA7437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附：网上容缺材料清单</w:t>
      </w:r>
    </w:p>
    <w:p w:rsidR="00DA7437" w:rsidRDefault="00DA7437" w:rsidP="00DA7437">
      <w:pPr>
        <w:pStyle w:val="a3"/>
        <w:widowControl/>
        <w:shd w:val="clear" w:color="auto" w:fill="FFFFFF"/>
        <w:spacing w:beforeAutospacing="0" w:afterAutospacing="0" w:line="5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</w:p>
    <w:p w:rsidR="00DA7437" w:rsidRDefault="00DA7437" w:rsidP="00DA7437">
      <w:pPr>
        <w:pStyle w:val="a3"/>
        <w:widowControl/>
        <w:shd w:val="clear" w:color="auto" w:fill="FFFFFF"/>
        <w:spacing w:beforeAutospacing="0" w:afterAutospacing="0" w:line="560" w:lineRule="atLeast"/>
        <w:ind w:firstLine="645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</w:p>
    <w:p w:rsidR="00DA7437" w:rsidRDefault="00DA7437" w:rsidP="00DA7437">
      <w:pPr>
        <w:pStyle w:val="a3"/>
        <w:widowControl/>
        <w:shd w:val="clear" w:color="auto" w:fill="FFFFFF"/>
        <w:spacing w:beforeAutospacing="0" w:afterAutospacing="0" w:line="560" w:lineRule="atLeast"/>
        <w:ind w:firstLine="645"/>
        <w:jc w:val="right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仙桃市人民法院立案庭</w:t>
      </w:r>
    </w:p>
    <w:p w:rsidR="00DA7437" w:rsidRDefault="00DA7437" w:rsidP="00DA7437">
      <w:pPr>
        <w:pStyle w:val="a3"/>
        <w:widowControl/>
        <w:shd w:val="clear" w:color="auto" w:fill="FFFFFF"/>
        <w:spacing w:beforeAutospacing="0" w:afterAutospacing="0" w:line="560" w:lineRule="atLeast"/>
        <w:ind w:right="320" w:firstLine="645"/>
        <w:jc w:val="right"/>
        <w:rPr>
          <w:rFonts w:ascii="宋体" w:cs="宋体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2022年1月4日</w:t>
      </w:r>
    </w:p>
    <w:p w:rsidR="00EE2FB5" w:rsidRDefault="00EE2FB5" w:rsidP="00402EE6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rPr>
          <w:rFonts w:ascii="宋体" w:cs="宋体"/>
          <w:color w:val="000000"/>
          <w:sz w:val="31"/>
          <w:szCs w:val="31"/>
          <w:shd w:val="clear" w:color="auto" w:fill="FFFFFF"/>
        </w:rPr>
      </w:pPr>
    </w:p>
    <w:p w:rsidR="00EE2FB5" w:rsidRDefault="00EE2FB5" w:rsidP="00402EE6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rPr>
          <w:rFonts w:ascii="宋体" w:cs="宋体"/>
          <w:color w:val="000000"/>
          <w:sz w:val="31"/>
          <w:szCs w:val="31"/>
          <w:shd w:val="clear" w:color="auto" w:fill="FFFFFF"/>
        </w:rPr>
      </w:pPr>
    </w:p>
    <w:p w:rsidR="00EE2FB5" w:rsidRDefault="00EE2FB5" w:rsidP="00402EE6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rPr>
          <w:rFonts w:ascii="宋体" w:cs="宋体"/>
          <w:color w:val="000000"/>
          <w:sz w:val="31"/>
          <w:szCs w:val="31"/>
          <w:shd w:val="clear" w:color="auto" w:fill="FFFFFF"/>
        </w:rPr>
      </w:pPr>
    </w:p>
    <w:p w:rsidR="00EE2FB5" w:rsidRDefault="00EE2FB5" w:rsidP="00402EE6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rPr>
          <w:rFonts w:ascii="宋体" w:cs="宋体"/>
          <w:color w:val="000000"/>
          <w:sz w:val="31"/>
          <w:szCs w:val="31"/>
          <w:shd w:val="clear" w:color="auto" w:fill="FFFFFF"/>
        </w:rPr>
      </w:pPr>
    </w:p>
    <w:p w:rsidR="00EE2FB5" w:rsidRDefault="00EE2FB5" w:rsidP="00402EE6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rPr>
          <w:rFonts w:ascii="宋体" w:cs="宋体"/>
          <w:color w:val="000000"/>
          <w:sz w:val="31"/>
          <w:szCs w:val="31"/>
          <w:shd w:val="clear" w:color="auto" w:fill="FFFFFF"/>
        </w:rPr>
      </w:pPr>
    </w:p>
    <w:p w:rsidR="00EE2FB5" w:rsidRDefault="00EE2FB5" w:rsidP="00402EE6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rPr>
          <w:rFonts w:ascii="宋体" w:cs="宋体"/>
          <w:color w:val="000000"/>
          <w:sz w:val="31"/>
          <w:szCs w:val="31"/>
          <w:shd w:val="clear" w:color="auto" w:fill="FFFFFF"/>
        </w:rPr>
      </w:pPr>
    </w:p>
    <w:p w:rsidR="00EE2FB5" w:rsidRDefault="00EE2FB5" w:rsidP="00402EE6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rPr>
          <w:rFonts w:ascii="宋体" w:cs="宋体"/>
          <w:color w:val="000000"/>
          <w:sz w:val="31"/>
          <w:szCs w:val="31"/>
          <w:shd w:val="clear" w:color="auto" w:fill="FFFFFF"/>
        </w:rPr>
      </w:pPr>
    </w:p>
    <w:p w:rsidR="00EE2FB5" w:rsidRDefault="00EE2FB5" w:rsidP="00402EE6">
      <w:pPr>
        <w:pStyle w:val="a3"/>
        <w:widowControl/>
        <w:shd w:val="clear" w:color="auto" w:fill="FFFFFF"/>
        <w:spacing w:beforeAutospacing="0" w:afterAutospacing="0" w:line="600" w:lineRule="atLeast"/>
        <w:ind w:firstLine="645"/>
        <w:rPr>
          <w:rFonts w:ascii="微软雅黑" w:eastAsia="微软雅黑" w:hAnsi="微软雅黑" w:cs="微软雅黑"/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5"/>
        <w:gridCol w:w="983"/>
        <w:gridCol w:w="1109"/>
        <w:gridCol w:w="1236"/>
        <w:gridCol w:w="983"/>
        <w:gridCol w:w="1018"/>
        <w:gridCol w:w="1011"/>
        <w:gridCol w:w="1441"/>
      </w:tblGrid>
      <w:tr w:rsidR="00EE2FB5" w:rsidRPr="003D3FDD" w:rsidTr="006F2DDB">
        <w:trPr>
          <w:trHeight w:val="1995"/>
        </w:trPr>
        <w:tc>
          <w:tcPr>
            <w:tcW w:w="14385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微软雅黑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                             </w:t>
            </w: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DA7437"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</w:rPr>
              <w:t> </w:t>
            </w:r>
            <w:r w:rsidRPr="00DA7437"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</w:rPr>
              <w:t>仙桃市</w:t>
            </w:r>
            <w:r w:rsidRPr="00DA7437">
              <w:rPr>
                <w:rFonts w:ascii="仿宋_GB2312" w:eastAsia="仿宋_GB2312" w:hAnsi="宋体" w:cs="黑体" w:hint="eastAsia"/>
                <w:color w:val="000000"/>
                <w:kern w:val="0"/>
                <w:sz w:val="32"/>
                <w:szCs w:val="32"/>
              </w:rPr>
              <w:t>人民法院</w:t>
            </w:r>
            <w:r w:rsidRPr="00DA7437">
              <w:rPr>
                <w:rFonts w:ascii="仿宋_GB2312" w:eastAsia="仿宋_GB2312" w:hAnsi="宋体" w:cs="黑体" w:hint="eastAsia"/>
                <w:color w:val="000000"/>
                <w:kern w:val="0"/>
                <w:sz w:val="32"/>
                <w:szCs w:val="32"/>
              </w:rPr>
              <w:br/>
            </w:r>
            <w:r w:rsidRPr="00DA7437">
              <w:rPr>
                <w:rFonts w:ascii="仿宋_GB2312" w:eastAsia="仿宋_GB2312" w:hAnsi="宋体" w:cs="黑体" w:hint="eastAsia"/>
                <w:color w:val="000000"/>
                <w:kern w:val="0"/>
                <w:sz w:val="32"/>
                <w:szCs w:val="32"/>
              </w:rPr>
              <w:t> </w:t>
            </w:r>
            <w:r w:rsidRPr="00DA7437">
              <w:rPr>
                <w:rFonts w:ascii="仿宋_GB2312" w:eastAsia="仿宋_GB2312" w:hAnsi="宋体" w:cs="黑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DA7437">
              <w:rPr>
                <w:rFonts w:ascii="仿宋_GB2312" w:eastAsia="仿宋_GB2312" w:hAnsi="宋体" w:cs="黑体" w:hint="eastAsia"/>
                <w:color w:val="000000"/>
                <w:kern w:val="0"/>
                <w:sz w:val="32"/>
                <w:szCs w:val="32"/>
              </w:rPr>
              <w:t>  </w:t>
            </w:r>
            <w:r w:rsidRPr="00DA7437">
              <w:rPr>
                <w:rFonts w:ascii="仿宋_GB2312" w:eastAsia="仿宋_GB2312" w:hAnsi="宋体" w:cs="黑体" w:hint="eastAsia"/>
                <w:color w:val="000000"/>
                <w:kern w:val="0"/>
                <w:sz w:val="32"/>
                <w:szCs w:val="32"/>
              </w:rPr>
              <w:t>民商事一审案件网上立案容缺材料清单</w:t>
            </w:r>
          </w:p>
        </w:tc>
      </w:tr>
      <w:tr w:rsidR="00EE2FB5" w:rsidRPr="003D3FDD" w:rsidTr="006F2DDB">
        <w:trPr>
          <w:trHeight w:val="1005"/>
        </w:trPr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立案时必须提交材料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可容缺材料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材料性质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EE2FB5" w:rsidRPr="003D3FDD" w:rsidTr="006F2DDB">
        <w:trPr>
          <w:trHeight w:val="18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起诉状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原件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</w:tr>
      <w:tr w:rsidR="00EE2FB5" w:rsidRPr="003D3FDD" w:rsidTr="006F2DDB">
        <w:trPr>
          <w:trHeight w:val="1800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2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当事人主体的材料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身份证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复印件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</w:tr>
      <w:tr w:rsidR="00EE2FB5" w:rsidRPr="003D3FDD" w:rsidTr="006F2DDB">
        <w:trPr>
          <w:trHeight w:val="1800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法人或者其他组织</w:t>
            </w:r>
          </w:p>
        </w:tc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营业执照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复印件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</w:tr>
      <w:tr w:rsidR="00EE2FB5" w:rsidRPr="003D3FDD" w:rsidTr="006F2DDB">
        <w:trPr>
          <w:trHeight w:val="1800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法定代表人身份证明</w:t>
            </w: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lastRenderedPageBreak/>
              <w:t>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原件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</w:tr>
      <w:tr w:rsidR="00EE2FB5" w:rsidRPr="003D3FDD" w:rsidTr="006F2DDB">
        <w:trPr>
          <w:trHeight w:val="1800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9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法定代表人身份证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复印件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</w:tr>
      <w:tr w:rsidR="00EE2FB5" w:rsidRPr="003D3FDD" w:rsidTr="006F2DDB">
        <w:trPr>
          <w:trHeight w:val="18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98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授权委托材料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原件/复印件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授权委托书、所函等须提供原件；律师证等可提供复印件。</w:t>
            </w:r>
          </w:p>
        </w:tc>
      </w:tr>
      <w:tr w:rsidR="00EE2FB5" w:rsidRPr="003D3FDD" w:rsidTr="006F2DDB">
        <w:trPr>
          <w:trHeight w:val="1800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2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证据</w:t>
            </w: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br/>
              <w:t>材料</w:t>
            </w:r>
          </w:p>
        </w:tc>
        <w:tc>
          <w:tcPr>
            <w:tcW w:w="4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能够确定管辖法院的证据材料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复印件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</w:tr>
      <w:tr w:rsidR="00EE2FB5" w:rsidRPr="003D3FDD" w:rsidTr="006F2DDB">
        <w:trPr>
          <w:trHeight w:val="1800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4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证明案件基本事实的证据材料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复印件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</w:tr>
      <w:tr w:rsidR="00EE2FB5" w:rsidRPr="003D3FDD" w:rsidTr="006F2DDB">
        <w:trPr>
          <w:trHeight w:val="1800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4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涉及实体争议的其他证据材料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  <w:r w:rsidRPr="00DA7437">
              <w:rPr>
                <w:rFonts w:ascii="仿宋_GB2312" w:eastAsia="仿宋_GB2312" w:hAnsi="微软雅黑" w:cs="微软雅黑" w:hint="eastAsia"/>
                <w:color w:val="000000"/>
                <w:kern w:val="0"/>
                <w:sz w:val="32"/>
                <w:szCs w:val="32"/>
              </w:rPr>
              <w:t>复印件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B5" w:rsidRPr="00DA7437" w:rsidRDefault="00EE2FB5" w:rsidP="006F2DDB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32"/>
                <w:szCs w:val="32"/>
              </w:rPr>
            </w:pPr>
          </w:p>
        </w:tc>
      </w:tr>
    </w:tbl>
    <w:p w:rsidR="00EE2FB5" w:rsidRDefault="00EE2FB5"/>
    <w:sectPr w:rsidR="00EE2FB5" w:rsidSect="00B1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Times New Roman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5EF0"/>
    <w:multiLevelType w:val="hybridMultilevel"/>
    <w:tmpl w:val="35160F72"/>
    <w:lvl w:ilvl="0" w:tplc="EDAA51CA">
      <w:start w:val="8"/>
      <w:numFmt w:val="japaneseCounting"/>
      <w:lvlText w:val="第%1条"/>
      <w:lvlJc w:val="left"/>
      <w:pPr>
        <w:tabs>
          <w:tab w:val="num" w:pos="2460"/>
        </w:tabs>
        <w:ind w:left="2460" w:hanging="181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">
    <w:nsid w:val="4B780AEA"/>
    <w:multiLevelType w:val="hybridMultilevel"/>
    <w:tmpl w:val="5634814E"/>
    <w:lvl w:ilvl="0" w:tplc="8720660C">
      <w:start w:val="8"/>
      <w:numFmt w:val="japaneseCounting"/>
      <w:lvlText w:val="第%1条"/>
      <w:lvlJc w:val="left"/>
      <w:pPr>
        <w:tabs>
          <w:tab w:val="num" w:pos="2535"/>
        </w:tabs>
        <w:ind w:left="2535" w:hanging="18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czZDZkMzdmODQyY2RmNDc0OGZhZmUxYWZlZTk3ZmUifQ=="/>
  </w:docVars>
  <w:rsids>
    <w:rsidRoot w:val="26DD18FB"/>
    <w:rsid w:val="00076759"/>
    <w:rsid w:val="000B0F4A"/>
    <w:rsid w:val="00120C46"/>
    <w:rsid w:val="00232CC8"/>
    <w:rsid w:val="0030082E"/>
    <w:rsid w:val="00331841"/>
    <w:rsid w:val="0035066B"/>
    <w:rsid w:val="003B26DC"/>
    <w:rsid w:val="003D3FDD"/>
    <w:rsid w:val="00402EE6"/>
    <w:rsid w:val="004B255B"/>
    <w:rsid w:val="00596DB8"/>
    <w:rsid w:val="006F2DDB"/>
    <w:rsid w:val="00761F47"/>
    <w:rsid w:val="00AD0DD9"/>
    <w:rsid w:val="00B170C5"/>
    <w:rsid w:val="00DA7437"/>
    <w:rsid w:val="00EE2FB5"/>
    <w:rsid w:val="26DD18FB"/>
    <w:rsid w:val="320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C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70C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哼哼哈嘿</dc:creator>
  <cp:keywords/>
  <dc:description/>
  <cp:lastModifiedBy>city</cp:lastModifiedBy>
  <cp:revision>7</cp:revision>
  <cp:lastPrinted>2022-07-02T02:49:00Z</cp:lastPrinted>
  <dcterms:created xsi:type="dcterms:W3CDTF">2022-05-24T03:15:00Z</dcterms:created>
  <dcterms:modified xsi:type="dcterms:W3CDTF">2022-07-02T09:22:00Z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CA3AF525EE724E6FBC51E870F8D1A0F2</vt:lpwstr>
  </property>
</Properties>
</file>